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2CE0" w14:textId="136C36E2" w:rsidR="003174F0" w:rsidRPr="00022D19" w:rsidRDefault="003174F0" w:rsidP="00022D1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22D19">
        <w:rPr>
          <w:b/>
          <w:sz w:val="24"/>
          <w:szCs w:val="24"/>
        </w:rPr>
        <w:t>Analisi e proposte su gestione e utilizzo dei questionari relativi alla soddisfazione degli studenti</w:t>
      </w:r>
    </w:p>
    <w:p w14:paraId="2039C2FD" w14:textId="3E8E44BB" w:rsidR="00814E14" w:rsidRPr="00022D19" w:rsidRDefault="00814E14" w:rsidP="00022D19">
      <w:pPr>
        <w:shd w:val="clear" w:color="auto" w:fill="FFFFFF"/>
        <w:jc w:val="both"/>
        <w:rPr>
          <w:rFonts w:cs="Calibri"/>
          <w:color w:val="000000"/>
        </w:rPr>
      </w:pPr>
      <w:r w:rsidRPr="00022D19">
        <w:rPr>
          <w:rFonts w:cs="Calibri"/>
          <w:color w:val="000000"/>
        </w:rPr>
        <w:t xml:space="preserve">Si rende necessario sottolineare, a premessa di tutto quanto verrà discusso nel prosieguo del documento, che l’emergenza sanitaria legata alla pandemia da </w:t>
      </w:r>
      <w:r w:rsidR="005D102B" w:rsidRPr="00022D19">
        <w:rPr>
          <w:rFonts w:cs="Calibri"/>
          <w:color w:val="000000"/>
        </w:rPr>
        <w:t>Co</w:t>
      </w:r>
      <w:r w:rsidR="005D102B">
        <w:rPr>
          <w:rFonts w:cs="Calibri"/>
          <w:color w:val="000000"/>
        </w:rPr>
        <w:t>v</w:t>
      </w:r>
      <w:r w:rsidR="005D102B" w:rsidRPr="00022D19">
        <w:rPr>
          <w:rFonts w:cs="Calibri"/>
          <w:color w:val="000000"/>
        </w:rPr>
        <w:t>id</w:t>
      </w:r>
      <w:r w:rsidRPr="00022D19">
        <w:rPr>
          <w:rFonts w:cs="Calibri"/>
          <w:color w:val="000000"/>
        </w:rPr>
        <w:t xml:space="preserve">-19 ha impattato in maniera significativa su tutte le attività universitarie. In particolare, ha causato la trasformazione praticamente integrale della didattica tradizionale in presenza in didattica a distanza. Questo è avvenuto a partire da marzo </w:t>
      </w:r>
      <w:r w:rsidR="004B64ED">
        <w:rPr>
          <w:rFonts w:cs="Calibri"/>
          <w:color w:val="000000"/>
        </w:rPr>
        <w:t>2020 ed è perdurato anche per gran parte del 2021</w:t>
      </w:r>
      <w:r w:rsidR="005D102B">
        <w:rPr>
          <w:rFonts w:cs="Calibri"/>
          <w:color w:val="000000"/>
        </w:rPr>
        <w:t>;</w:t>
      </w:r>
      <w:r w:rsidR="004B64ED">
        <w:rPr>
          <w:rFonts w:cs="Calibri"/>
          <w:color w:val="000000"/>
        </w:rPr>
        <w:t xml:space="preserve"> </w:t>
      </w:r>
      <w:r w:rsidR="005D102B">
        <w:rPr>
          <w:rFonts w:cs="Calibri"/>
          <w:color w:val="000000"/>
        </w:rPr>
        <w:t xml:space="preserve">nell’A.A. 2021-2022 </w:t>
      </w:r>
      <w:r w:rsidR="00F662EE">
        <w:rPr>
          <w:rFonts w:cs="Calibri"/>
          <w:color w:val="000000"/>
        </w:rPr>
        <w:t>(</w:t>
      </w:r>
      <w:r w:rsidR="005D3E47">
        <w:rPr>
          <w:rFonts w:cs="Calibri"/>
          <w:color w:val="000000"/>
        </w:rPr>
        <w:t>A.A. al quale si riferiscono alcuni dati analizzati nel presente documento</w:t>
      </w:r>
      <w:r w:rsidR="00F662EE">
        <w:rPr>
          <w:rFonts w:cs="Calibri"/>
          <w:color w:val="000000"/>
        </w:rPr>
        <w:t xml:space="preserve">) </w:t>
      </w:r>
      <w:r w:rsidR="004B64ED">
        <w:rPr>
          <w:rFonts w:cs="Calibri"/>
          <w:color w:val="000000"/>
        </w:rPr>
        <w:t xml:space="preserve">si </w:t>
      </w:r>
      <w:r w:rsidR="005D102B">
        <w:rPr>
          <w:rFonts w:cs="Calibri"/>
          <w:color w:val="000000"/>
        </w:rPr>
        <w:t xml:space="preserve">è passati </w:t>
      </w:r>
      <w:r w:rsidR="004B64ED">
        <w:rPr>
          <w:rFonts w:cs="Calibri"/>
          <w:color w:val="000000"/>
        </w:rPr>
        <w:t>ad una modalità didattica mista presenza/distanza</w:t>
      </w:r>
      <w:r w:rsidR="005D102B">
        <w:rPr>
          <w:rFonts w:cs="Calibri"/>
          <w:color w:val="000000"/>
        </w:rPr>
        <w:t xml:space="preserve"> e dal 2022-2023 alla didattica in presenza</w:t>
      </w:r>
      <w:r w:rsidR="00DD1979">
        <w:rPr>
          <w:rFonts w:cs="Calibri"/>
          <w:color w:val="000000"/>
        </w:rPr>
        <w:t>, mantene</w:t>
      </w:r>
      <w:r w:rsidR="00103DDB">
        <w:rPr>
          <w:rFonts w:cs="Calibri"/>
          <w:color w:val="000000"/>
        </w:rPr>
        <w:t>n</w:t>
      </w:r>
      <w:r w:rsidR="00DD1979">
        <w:rPr>
          <w:rFonts w:cs="Calibri"/>
          <w:color w:val="000000"/>
        </w:rPr>
        <w:t>do, c</w:t>
      </w:r>
      <w:r w:rsidR="00103DDB">
        <w:rPr>
          <w:rFonts w:cs="Calibri"/>
          <w:color w:val="000000"/>
        </w:rPr>
        <w:t>omunque, il collegamento in diretta streaming</w:t>
      </w:r>
      <w:r w:rsidRPr="00022D19">
        <w:rPr>
          <w:rFonts w:cs="Calibri"/>
          <w:color w:val="000000"/>
        </w:rPr>
        <w:t>.</w:t>
      </w:r>
    </w:p>
    <w:p w14:paraId="62FA2D43" w14:textId="77777777" w:rsidR="00814E14" w:rsidRPr="00022D19" w:rsidRDefault="00814E14" w:rsidP="00022D19">
      <w:pPr>
        <w:shd w:val="clear" w:color="auto" w:fill="FFFFFF"/>
        <w:jc w:val="both"/>
        <w:rPr>
          <w:rFonts w:cs="Calibri"/>
          <w:color w:val="000000"/>
        </w:rPr>
      </w:pPr>
    </w:p>
    <w:p w14:paraId="32A75CE0" w14:textId="77777777" w:rsidR="00814E14" w:rsidRPr="00022D19" w:rsidRDefault="00814E14" w:rsidP="00022D19">
      <w:pPr>
        <w:shd w:val="clear" w:color="auto" w:fill="FFFFFF"/>
        <w:jc w:val="both"/>
        <w:rPr>
          <w:rFonts w:cs="Calibri"/>
          <w:color w:val="000000"/>
        </w:rPr>
      </w:pPr>
      <w:r w:rsidRPr="00022D19">
        <w:rPr>
          <w:rFonts w:cs="Calibri"/>
          <w:color w:val="000000"/>
        </w:rPr>
        <w:t>Nello specifico, la didattica a distanza ha aperto una serie di questioni nuove che, sebbene sommariamente ed a premessa, si ritiene utile sottolineare.</w:t>
      </w:r>
    </w:p>
    <w:p w14:paraId="59A2C8AD" w14:textId="2F9F0AD3" w:rsidR="00814E14" w:rsidRPr="00022D19" w:rsidRDefault="00814E14" w:rsidP="00022D1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it-IT"/>
        </w:rPr>
      </w:pPr>
      <w:r w:rsidRPr="00022D19">
        <w:rPr>
          <w:rFonts w:asciiTheme="minorHAnsi" w:hAnsiTheme="minorHAnsi" w:cs="Calibri"/>
          <w:color w:val="222222"/>
          <w:lang w:val="it-IT"/>
        </w:rPr>
        <w:t>Necessità della definizione di una infrastruttura tecnologica adeguata che supporti da un lato i docenti ad erogare la didattica nella maniera più efficiente possibile e</w:t>
      </w:r>
      <w:r w:rsidR="007B61EE">
        <w:rPr>
          <w:rFonts w:asciiTheme="minorHAnsi" w:hAnsiTheme="minorHAnsi" w:cs="Calibri"/>
          <w:color w:val="222222"/>
          <w:lang w:val="it-IT"/>
        </w:rPr>
        <w:t>,</w:t>
      </w:r>
      <w:r w:rsidRPr="00022D19">
        <w:rPr>
          <w:rFonts w:asciiTheme="minorHAnsi" w:hAnsiTheme="minorHAnsi" w:cs="Calibri"/>
          <w:color w:val="222222"/>
          <w:lang w:val="it-IT"/>
        </w:rPr>
        <w:t xml:space="preserve"> </w:t>
      </w:r>
      <w:r w:rsidR="007B61EE" w:rsidRPr="00022D19">
        <w:rPr>
          <w:rFonts w:asciiTheme="minorHAnsi" w:hAnsiTheme="minorHAnsi" w:cs="Calibri"/>
          <w:color w:val="222222"/>
          <w:lang w:val="it-IT"/>
        </w:rPr>
        <w:t>dall’altr</w:t>
      </w:r>
      <w:r w:rsidR="007B61EE">
        <w:rPr>
          <w:rFonts w:asciiTheme="minorHAnsi" w:hAnsiTheme="minorHAnsi" w:cs="Calibri"/>
          <w:color w:val="222222"/>
          <w:lang w:val="it-IT"/>
        </w:rPr>
        <w:t>o,</w:t>
      </w:r>
      <w:r w:rsidRPr="00022D19">
        <w:rPr>
          <w:rFonts w:asciiTheme="minorHAnsi" w:hAnsiTheme="minorHAnsi" w:cs="Calibri"/>
          <w:color w:val="222222"/>
          <w:lang w:val="it-IT"/>
        </w:rPr>
        <w:t xml:space="preserve"> gli studenti ad interagire in maniera efficace</w:t>
      </w:r>
    </w:p>
    <w:p w14:paraId="033FE346" w14:textId="399FA8B4" w:rsidR="00814E14" w:rsidRPr="00022D19" w:rsidRDefault="00814E14" w:rsidP="00022D1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it-IT"/>
        </w:rPr>
      </w:pPr>
      <w:r w:rsidRPr="00022D19">
        <w:rPr>
          <w:rFonts w:asciiTheme="minorHAnsi" w:hAnsiTheme="minorHAnsi" w:cs="Calibri"/>
          <w:color w:val="222222"/>
          <w:lang w:val="it-IT"/>
        </w:rPr>
        <w:t>Complessità nel confrontare le performance della nostra Università con le altre di area regionale perché da un lato la didattica a distanza consentirebbe di effettuare valutazioni comparative su scala più ampia; dall’altro si rischia di effettuare un confronto tra Università che allo stato attuale stanno effettuando diverse tipologie di didattica (in presenza, mista, a distanza).</w:t>
      </w:r>
    </w:p>
    <w:p w14:paraId="44FEA056" w14:textId="11190FBB" w:rsidR="00814E14" w:rsidRPr="00022D19" w:rsidRDefault="00814E14" w:rsidP="00022D19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222222"/>
          <w:lang w:val="it-IT"/>
        </w:rPr>
      </w:pPr>
      <w:r w:rsidRPr="00022D19">
        <w:rPr>
          <w:rFonts w:asciiTheme="minorHAnsi" w:hAnsiTheme="minorHAnsi" w:cs="Calibri"/>
          <w:color w:val="222222"/>
          <w:lang w:val="it-IT"/>
        </w:rPr>
        <w:t xml:space="preserve">Opportunità di raccolta di informazioni dettagliate relative alla didattica attualmente impartita al fine della possibile trasformazione di uno o più canali in modalità totalmente </w:t>
      </w:r>
      <w:r w:rsidR="00A745BA" w:rsidRPr="00022D19">
        <w:rPr>
          <w:rFonts w:asciiTheme="minorHAnsi" w:hAnsiTheme="minorHAnsi" w:cs="Calibri"/>
          <w:color w:val="222222"/>
          <w:lang w:val="it-IT"/>
        </w:rPr>
        <w:t>telematic</w:t>
      </w:r>
      <w:r w:rsidR="00A745BA">
        <w:rPr>
          <w:rFonts w:asciiTheme="minorHAnsi" w:hAnsiTheme="minorHAnsi" w:cs="Calibri"/>
          <w:color w:val="222222"/>
          <w:lang w:val="it-IT"/>
        </w:rPr>
        <w:t>a</w:t>
      </w:r>
      <w:r w:rsidRPr="00022D19">
        <w:rPr>
          <w:rFonts w:asciiTheme="minorHAnsi" w:hAnsiTheme="minorHAnsi" w:cs="Calibri"/>
          <w:color w:val="222222"/>
          <w:lang w:val="it-IT"/>
        </w:rPr>
        <w:t>/miglioramento dei canali già esistenti.</w:t>
      </w:r>
    </w:p>
    <w:p w14:paraId="23213079" w14:textId="77777777" w:rsidR="00814E14" w:rsidRPr="00022D19" w:rsidRDefault="00814E14" w:rsidP="00022D19">
      <w:pPr>
        <w:jc w:val="both"/>
      </w:pPr>
    </w:p>
    <w:p w14:paraId="61841FE1" w14:textId="73BD6FF2" w:rsidR="00264918" w:rsidRPr="00022D19" w:rsidRDefault="00167AA1" w:rsidP="00022D19">
      <w:pPr>
        <w:jc w:val="both"/>
      </w:pPr>
      <w:r w:rsidRPr="00022D19">
        <w:t>a) Principali criticità rilevate (in ordine decrescente di criticità)</w:t>
      </w:r>
    </w:p>
    <w:p w14:paraId="457C7B3E" w14:textId="77777777" w:rsidR="00167AA1" w:rsidRPr="00022D19" w:rsidRDefault="00167AA1" w:rsidP="00022D19">
      <w:pPr>
        <w:jc w:val="both"/>
      </w:pPr>
    </w:p>
    <w:p w14:paraId="3C0B7D6C" w14:textId="26811680" w:rsidR="00264918" w:rsidRPr="00022D19" w:rsidRDefault="00A07A89" w:rsidP="00022D19">
      <w:pPr>
        <w:jc w:val="both"/>
      </w:pPr>
      <w:r w:rsidRPr="00022D19">
        <w:t>Criticità 1</w:t>
      </w:r>
    </w:p>
    <w:p w14:paraId="3670F559" w14:textId="77777777" w:rsidR="00A07A89" w:rsidRPr="00022D19" w:rsidRDefault="00A07A89" w:rsidP="00022D19">
      <w:pPr>
        <w:jc w:val="both"/>
      </w:pPr>
    </w:p>
    <w:p w14:paraId="7CDB72C5" w14:textId="7F97A283" w:rsidR="00AD2F46" w:rsidRDefault="00AD2F46" w:rsidP="00B0663D">
      <w:pPr>
        <w:autoSpaceDE w:val="0"/>
        <w:autoSpaceDN w:val="0"/>
        <w:adjustRightInd w:val="0"/>
        <w:jc w:val="both"/>
      </w:pPr>
      <w:r>
        <w:t xml:space="preserve">Gli ultimi dati disponibili su </w:t>
      </w:r>
      <w:hyperlink r:id="rId11" w:tgtFrame="_blank" w:tooltip="https://sisvaldidat.it/home/" w:history="1">
        <w:r w:rsidR="00B92826">
          <w:rPr>
            <w:rStyle w:val="Collegamentoipertestuale"/>
          </w:rPr>
          <w:t>https://sisvaldidat.it/HOME/</w:t>
        </w:r>
      </w:hyperlink>
      <w:r w:rsidR="00B0663D" w:rsidRPr="00B0663D">
        <w:t xml:space="preserve"> </w:t>
      </w:r>
      <w:r w:rsidR="003E7F41" w:rsidRPr="00B0663D">
        <w:t>derivanti dai questionari di soddisfazione degli studenti e utili per valutare la loro opinione rispetto agli insegnamenti impartiti e alla loro organizzazione sono relativi all’A.A. 202</w:t>
      </w:r>
      <w:r w:rsidR="00F662EE">
        <w:t>1</w:t>
      </w:r>
      <w:r w:rsidR="003E7F41" w:rsidRPr="00B0663D">
        <w:t>-202</w:t>
      </w:r>
      <w:r w:rsidR="00F662EE">
        <w:t>2</w:t>
      </w:r>
      <w:r w:rsidR="00CE1F3C" w:rsidRPr="00B0663D">
        <w:t xml:space="preserve">: si riporta, dunque, l’analisi sulla base di questi dati, restringendo il panel analizzato agli studenti </w:t>
      </w:r>
      <w:r w:rsidR="00D15D14" w:rsidRPr="00B0663D">
        <w:t xml:space="preserve">che hanno risposto alle domande del questionario e </w:t>
      </w:r>
      <w:r w:rsidR="00CE1F3C" w:rsidRPr="00B0663D">
        <w:t>che hanno dichiarato di frequentare almeno il 50% delle lezioni</w:t>
      </w:r>
      <w:r w:rsidR="00D15D14" w:rsidRPr="00B0663D">
        <w:t xml:space="preserve">. Si procederà, poi, a </w:t>
      </w:r>
      <w:r w:rsidR="004922E9" w:rsidRPr="00B0663D">
        <w:t>confrontare tal</w:t>
      </w:r>
      <w:r w:rsidR="0064213C" w:rsidRPr="00B0663D">
        <w:t>i</w:t>
      </w:r>
      <w:r w:rsidR="004922E9" w:rsidRPr="00B0663D">
        <w:t xml:space="preserve"> </w:t>
      </w:r>
      <w:r w:rsidR="0064213C" w:rsidRPr="00B0663D">
        <w:t xml:space="preserve">dati con </w:t>
      </w:r>
      <w:r w:rsidR="00415163" w:rsidRPr="00B0663D">
        <w:t xml:space="preserve">quelli dello stesso </w:t>
      </w:r>
      <w:r w:rsidR="00652815">
        <w:t>C</w:t>
      </w:r>
      <w:r w:rsidR="00652815" w:rsidRPr="00B0663D">
        <w:t xml:space="preserve">orso </w:t>
      </w:r>
      <w:r w:rsidR="00415163" w:rsidRPr="00B0663D">
        <w:t xml:space="preserve">di </w:t>
      </w:r>
      <w:r w:rsidR="00652815">
        <w:t>L</w:t>
      </w:r>
      <w:r w:rsidR="00652815" w:rsidRPr="00B0663D">
        <w:t xml:space="preserve">aurea </w:t>
      </w:r>
      <w:r w:rsidR="00415163" w:rsidRPr="00B0663D">
        <w:t>per l’A.A. immediatamente precedente e con quelli dell’Ateneo e della Macroarea di Ingegneria.</w:t>
      </w:r>
    </w:p>
    <w:p w14:paraId="04A7D6E6" w14:textId="7C2C59D3" w:rsidR="00BB4FBD" w:rsidRPr="00022D19" w:rsidRDefault="00BB4FBD" w:rsidP="00022D19">
      <w:pPr>
        <w:autoSpaceDE w:val="0"/>
        <w:autoSpaceDN w:val="0"/>
        <w:adjustRightInd w:val="0"/>
        <w:jc w:val="both"/>
      </w:pPr>
    </w:p>
    <w:p w14:paraId="4426B56D" w14:textId="4C44B8E2" w:rsidR="00BB4FBD" w:rsidRPr="00022D19" w:rsidRDefault="00BB4FBD" w:rsidP="00022D19">
      <w:pPr>
        <w:autoSpaceDE w:val="0"/>
        <w:autoSpaceDN w:val="0"/>
        <w:adjustRightInd w:val="0"/>
        <w:jc w:val="both"/>
      </w:pPr>
      <w:r w:rsidRPr="00022D19">
        <w:t xml:space="preserve">Le valutazioni per il </w:t>
      </w:r>
      <w:proofErr w:type="spellStart"/>
      <w:r w:rsidR="006826EC">
        <w:t>CdS</w:t>
      </w:r>
      <w:proofErr w:type="spellEnd"/>
      <w:r w:rsidRPr="00022D19">
        <w:t xml:space="preserve"> in Ingegneria Gestionale sono positive e leggermente </w:t>
      </w:r>
      <w:r w:rsidR="00961E57" w:rsidRPr="00022D19">
        <w:t xml:space="preserve">diverse </w:t>
      </w:r>
      <w:r w:rsidRPr="00022D19">
        <w:t xml:space="preserve">rispetto a quelle di Ingegneria e di Ateneo ed anche rispetto a quelle </w:t>
      </w:r>
      <w:r w:rsidR="00961E57" w:rsidRPr="00022D19">
        <w:t xml:space="preserve">dell’anno </w:t>
      </w:r>
      <w:r w:rsidRPr="00022D19">
        <w:t xml:space="preserve">precedente; </w:t>
      </w:r>
      <w:r w:rsidR="00961E57" w:rsidRPr="00022D19">
        <w:t xml:space="preserve">c’è </w:t>
      </w:r>
      <w:r w:rsidRPr="00022D19">
        <w:t xml:space="preserve">da notare che il numero </w:t>
      </w:r>
      <w:r w:rsidR="00B24892" w:rsidRPr="00022D19">
        <w:t>dei questionari</w:t>
      </w:r>
      <w:r w:rsidRPr="00022D19">
        <w:t xml:space="preserve"> di cui è disponibile </w:t>
      </w:r>
      <w:r w:rsidR="00961E57" w:rsidRPr="00022D19">
        <w:t xml:space="preserve">l’esito </w:t>
      </w:r>
      <w:r w:rsidRPr="00022D19">
        <w:t xml:space="preserve">è </w:t>
      </w:r>
      <w:r w:rsidR="00FF3273">
        <w:t>diminuito</w:t>
      </w:r>
      <w:r w:rsidR="00F662EE">
        <w:t xml:space="preserve"> rispetto a</w:t>
      </w:r>
      <w:r w:rsidRPr="00022D19">
        <w:t xml:space="preserve"> quello dello scorso anno: </w:t>
      </w:r>
      <w:r w:rsidR="00F662EE">
        <w:t>2360</w:t>
      </w:r>
      <w:r w:rsidR="00F662EE" w:rsidRPr="00022D19">
        <w:t xml:space="preserve"> </w:t>
      </w:r>
      <w:r w:rsidR="00BE46AB" w:rsidRPr="00022D19">
        <w:t>(</w:t>
      </w:r>
      <w:r w:rsidR="00961E57" w:rsidRPr="00022D19">
        <w:t>A</w:t>
      </w:r>
      <w:r w:rsidR="00B24892" w:rsidRPr="00022D19">
        <w:t>.</w:t>
      </w:r>
      <w:r w:rsidR="00961E57" w:rsidRPr="00022D19">
        <w:t xml:space="preserve">A. </w:t>
      </w:r>
      <w:r w:rsidR="00C539A0" w:rsidRPr="00022D19">
        <w:t>20</w:t>
      </w:r>
      <w:r w:rsidR="00C539A0">
        <w:t>2</w:t>
      </w:r>
      <w:r w:rsidR="00FF3273">
        <w:t>1</w:t>
      </w:r>
      <w:r w:rsidR="00B24892" w:rsidRPr="00022D19">
        <w:t>-</w:t>
      </w:r>
      <w:r w:rsidR="00C539A0" w:rsidRPr="00022D19">
        <w:t>202</w:t>
      </w:r>
      <w:r w:rsidR="00FF3273">
        <w:t>2</w:t>
      </w:r>
      <w:r w:rsidR="00C539A0" w:rsidRPr="00022D19">
        <w:t xml:space="preserve"> </w:t>
      </w:r>
      <w:r w:rsidR="00B24892" w:rsidRPr="00022D19">
        <w:t>corso H23+U09</w:t>
      </w:r>
      <w:r w:rsidR="00BE46AB" w:rsidRPr="00022D19">
        <w:t xml:space="preserve">) contro i </w:t>
      </w:r>
      <w:r w:rsidR="00FF3273">
        <w:t>2497</w:t>
      </w:r>
      <w:r w:rsidR="00FF3273" w:rsidRPr="00022D19">
        <w:t xml:space="preserve"> </w:t>
      </w:r>
      <w:r w:rsidR="00BE46AB" w:rsidRPr="00022D19">
        <w:t>(</w:t>
      </w:r>
      <w:r w:rsidR="00961E57" w:rsidRPr="00022D19">
        <w:t>A</w:t>
      </w:r>
      <w:r w:rsidR="00B24892" w:rsidRPr="00022D19">
        <w:t>.</w:t>
      </w:r>
      <w:r w:rsidR="00961E57" w:rsidRPr="00022D19">
        <w:t xml:space="preserve">A </w:t>
      </w:r>
      <w:r w:rsidR="00C539A0" w:rsidRPr="00022D19">
        <w:t>20</w:t>
      </w:r>
      <w:r w:rsidR="00FF3273">
        <w:t>20</w:t>
      </w:r>
      <w:r w:rsidR="00B24892" w:rsidRPr="00022D19">
        <w:t>-</w:t>
      </w:r>
      <w:r w:rsidR="00C539A0" w:rsidRPr="00022D19">
        <w:t>20</w:t>
      </w:r>
      <w:r w:rsidR="00C539A0">
        <w:t>2</w:t>
      </w:r>
      <w:r w:rsidR="00FF3273">
        <w:t>1</w:t>
      </w:r>
      <w:r w:rsidR="00BE46AB" w:rsidRPr="00022D19">
        <w:t>)</w:t>
      </w:r>
      <w:r w:rsidR="000C1187" w:rsidRPr="00022D19">
        <w:t>.</w:t>
      </w:r>
    </w:p>
    <w:p w14:paraId="036AE99C" w14:textId="77777777" w:rsidR="002C4496" w:rsidRDefault="00FF3273" w:rsidP="000F1753">
      <w:pPr>
        <w:jc w:val="both"/>
      </w:pPr>
      <w:r>
        <w:t>La diminuzione della numerosità dei questionari disponibili, trova, tuttavia, un riscontro positivo, con un aume</w:t>
      </w:r>
      <w:r w:rsidR="000B7744">
        <w:t>n</w:t>
      </w:r>
      <w:r>
        <w:t>to della votazione media</w:t>
      </w:r>
      <w:r w:rsidR="00BB4FBD" w:rsidRPr="00022D19">
        <w:t xml:space="preserve"> pari a </w:t>
      </w:r>
      <w:r>
        <w:t xml:space="preserve">7,96/10, rispetto al </w:t>
      </w:r>
      <w:r w:rsidR="00AF7117" w:rsidRPr="00022D19">
        <w:t>7,</w:t>
      </w:r>
      <w:r w:rsidR="00CF2CCA" w:rsidRPr="00022D19">
        <w:t>8</w:t>
      </w:r>
      <w:r>
        <w:t>3</w:t>
      </w:r>
      <w:r w:rsidR="00BB4FBD" w:rsidRPr="00022D19">
        <w:t>/10</w:t>
      </w:r>
      <w:r w:rsidR="00FC1D1C">
        <w:t>:</w:t>
      </w:r>
      <w:r w:rsidR="00FC1D1C" w:rsidRPr="00022D19">
        <w:t xml:space="preserve"> </w:t>
      </w:r>
      <w:r w:rsidR="00FC1D1C">
        <w:t>c</w:t>
      </w:r>
      <w:r w:rsidR="008E2101" w:rsidRPr="00022D19">
        <w:t xml:space="preserve">onfrontando, </w:t>
      </w:r>
      <w:r w:rsidR="00FC1D1C">
        <w:t>infatti</w:t>
      </w:r>
      <w:r w:rsidR="008E2101" w:rsidRPr="00022D19">
        <w:t>, i giudizi relativi all’A.A. 20</w:t>
      </w:r>
      <w:r w:rsidR="008E2101">
        <w:t>21</w:t>
      </w:r>
      <w:r w:rsidR="008E2101" w:rsidRPr="00022D19">
        <w:t>-202</w:t>
      </w:r>
      <w:r w:rsidR="008E2101">
        <w:t>2</w:t>
      </w:r>
      <w:r w:rsidR="008E2101" w:rsidRPr="00022D19">
        <w:t xml:space="preserve"> con quelli dell’A.A. 2</w:t>
      </w:r>
      <w:r w:rsidR="008E2101">
        <w:t>020</w:t>
      </w:r>
      <w:r w:rsidR="008E2101" w:rsidRPr="00022D19">
        <w:t>-20</w:t>
      </w:r>
      <w:r w:rsidR="008E2101">
        <w:t>21</w:t>
      </w:r>
      <w:r w:rsidR="008E2101" w:rsidRPr="00022D19">
        <w:t xml:space="preserve"> si nota</w:t>
      </w:r>
      <w:r w:rsidR="008E2101">
        <w:t>, nel complesso, un generale miglioramento.</w:t>
      </w:r>
    </w:p>
    <w:p w14:paraId="46F07A24" w14:textId="6797B5BF" w:rsidR="000F1753" w:rsidRDefault="000F1753" w:rsidP="000F1753">
      <w:pPr>
        <w:jc w:val="both"/>
      </w:pPr>
      <w:r>
        <w:t xml:space="preserve">Tuttavia, il </w:t>
      </w:r>
      <w:proofErr w:type="spellStart"/>
      <w:r>
        <w:t>CdS</w:t>
      </w:r>
      <w:proofErr w:type="spellEnd"/>
      <w:r>
        <w:t xml:space="preserve"> risulta meno performante della Macroarea (valutazione media pari a 8,12/10) e dell’Ateneo (8,10/10). In particolare, rispetto alla Macroarea il </w:t>
      </w:r>
      <w:proofErr w:type="spellStart"/>
      <w:r>
        <w:t>CdS</w:t>
      </w:r>
      <w:proofErr w:type="spellEnd"/>
      <w:r>
        <w:t xml:space="preserve"> presenta punteggi maggiori solamente sugli indicatori D7 – “</w:t>
      </w:r>
      <w:r w:rsidRPr="000C08C7">
        <w:t xml:space="preserve">Il docente (i docenti hanno) ha personalmente </w:t>
      </w:r>
      <w:r w:rsidRPr="000C08C7">
        <w:lastRenderedPageBreak/>
        <w:t>tenuto le lezioni?</w:t>
      </w:r>
      <w:r>
        <w:t>” e D14 – “</w:t>
      </w:r>
      <w:r w:rsidRPr="004425E8">
        <w:t xml:space="preserve">Il carico di studio di questo insegnamento </w:t>
      </w:r>
      <w:r>
        <w:t>è</w:t>
      </w:r>
      <w:r w:rsidRPr="004425E8">
        <w:t xml:space="preserve"> proporzionato ai crediti assegnati?</w:t>
      </w:r>
      <w:r>
        <w:t>”, con scarti contenuti e pari rispettivamente a 1,96% e 1,00%.</w:t>
      </w:r>
    </w:p>
    <w:p w14:paraId="314741EB" w14:textId="311C3C32" w:rsidR="002C4496" w:rsidRDefault="002C4496" w:rsidP="002C4496">
      <w:pPr>
        <w:jc w:val="both"/>
      </w:pPr>
      <w:r>
        <w:t xml:space="preserve">In particolare, si evidenziano performance inferiori alla Macroarea sull’organizzazione degli esami nel periodo di riferimento (-3,71%). L’area dell’organizzazione della didattica è il punto debole del </w:t>
      </w:r>
      <w:proofErr w:type="spellStart"/>
      <w:r>
        <w:t>CdS</w:t>
      </w:r>
      <w:proofErr w:type="spellEnd"/>
      <w:r>
        <w:t xml:space="preserve"> quando ci si confronta con i punteggi dell’Ateneo: l’organizzazione degli esami ha una performance del 6,46% peggiore; il carico di lavoro complessivo degli insegnamenti nel periodo di riferimento perde il 5,09%; infine, la chiara definizione delle modalità di esame perde il 2,62%. Su questi indicatori il </w:t>
      </w:r>
      <w:proofErr w:type="spellStart"/>
      <w:r>
        <w:t>CdS</w:t>
      </w:r>
      <w:proofErr w:type="spellEnd"/>
      <w:r>
        <w:t xml:space="preserve"> perde anche nel confronto con la Macroarea, anche se in misura più contenuta (lo scarto massimo, pari a -3,71% si ha per la domanda D3 – “</w:t>
      </w:r>
      <w:r w:rsidRPr="002A1939">
        <w:t xml:space="preserve">L’organizzazione degli esami (date appelli, modalità esame, </w:t>
      </w:r>
      <w:proofErr w:type="spellStart"/>
      <w:r w:rsidRPr="002A1939">
        <w:t>ecc</w:t>
      </w:r>
      <w:proofErr w:type="spellEnd"/>
      <w:r w:rsidRPr="002A1939">
        <w:t xml:space="preserve">), nel periodo di riferimento </w:t>
      </w:r>
      <w:r w:rsidR="0057435A">
        <w:t>è</w:t>
      </w:r>
      <w:r w:rsidRPr="002A1939">
        <w:t xml:space="preserve"> accettabile?</w:t>
      </w:r>
      <w:r>
        <w:t>”)</w:t>
      </w:r>
      <w:r w:rsidR="006E6576">
        <w:t>, anche se</w:t>
      </w:r>
      <w:r>
        <w:t xml:space="preserve"> con indicatori tutti in miglioramento rispetto all’A.A. precedente (il miglioramento più marcato, pari a +5,58%</w:t>
      </w:r>
      <w:r w:rsidR="008118F2">
        <w:t>,</w:t>
      </w:r>
      <w:r>
        <w:t xml:space="preserve"> è sulla domanda D4 – “</w:t>
      </w:r>
      <w:r w:rsidRPr="006B564C">
        <w:t>Le modalit</w:t>
      </w:r>
      <w:r w:rsidR="008118F2">
        <w:t>à</w:t>
      </w:r>
      <w:r w:rsidRPr="006B564C">
        <w:t xml:space="preserve"> di esame sono state definite in modo chiaro?</w:t>
      </w:r>
      <w:r>
        <w:t>”).</w:t>
      </w:r>
    </w:p>
    <w:p w14:paraId="15B891AA" w14:textId="76C15D47" w:rsidR="002C4496" w:rsidRDefault="002C4496" w:rsidP="002C4496">
      <w:pPr>
        <w:jc w:val="both"/>
      </w:pPr>
      <w:r>
        <w:t xml:space="preserve">Inoltre, nonostante il giudizio sia in crescita del 2,42% rispetto all’A.A. 2020-2021, le conoscenze preliminari di chi affronta il </w:t>
      </w:r>
      <w:proofErr w:type="spellStart"/>
      <w:r>
        <w:t>CdS</w:t>
      </w:r>
      <w:proofErr w:type="spellEnd"/>
      <w:r>
        <w:t xml:space="preserve"> non risultano altrettanto utili di quelle d</w:t>
      </w:r>
      <w:r w:rsidR="00D74AC6">
        <w:t>e</w:t>
      </w:r>
      <w:r>
        <w:t>ll’Ateneo e d</w:t>
      </w:r>
      <w:r w:rsidR="00D74AC6">
        <w:t>e</w:t>
      </w:r>
      <w:r>
        <w:t>lla Macroarea nel suo complesso (rispettivamente -5,72% e -2%).</w:t>
      </w:r>
    </w:p>
    <w:p w14:paraId="6BD49749" w14:textId="77777777" w:rsidR="000F1753" w:rsidRDefault="000F1753" w:rsidP="000F1753">
      <w:pPr>
        <w:jc w:val="both"/>
      </w:pPr>
    </w:p>
    <w:p w14:paraId="3405C57A" w14:textId="41BB8410" w:rsidR="0039385C" w:rsidRDefault="00A23EB4" w:rsidP="008E2101">
      <w:pPr>
        <w:jc w:val="both"/>
      </w:pPr>
      <w:r>
        <w:t xml:space="preserve">In generale, escludendo alcuni quesiti che verranno analizzati nel seguito, </w:t>
      </w:r>
      <w:r w:rsidR="00574F3C">
        <w:t xml:space="preserve">il </w:t>
      </w:r>
      <w:proofErr w:type="spellStart"/>
      <w:r w:rsidR="00574F3C">
        <w:t>CdS</w:t>
      </w:r>
      <w:proofErr w:type="spellEnd"/>
      <w:r w:rsidR="00574F3C">
        <w:t xml:space="preserve"> sperimenta punteggi in miglioramento rispetto all’A.A. precedente. </w:t>
      </w:r>
      <w:r w:rsidR="00D1297A">
        <w:t>Il miglioramento più marcato si ha sull’</w:t>
      </w:r>
      <w:r w:rsidR="0039385C">
        <w:t>adeguatezza degli spazi messi a disposizione: in aumento del 9,41% la valutazione che viene assegnata all’adeguatezza delle aule in cui si svolgono i corsi e del 3,62% quella assegnata all’adeguatezza dei locali e delle attrezzature per eventuali attività didattiche integrative.</w:t>
      </w:r>
    </w:p>
    <w:p w14:paraId="561C3E92" w14:textId="77777777" w:rsidR="004A5B9D" w:rsidRDefault="004A5B9D" w:rsidP="004A5B9D">
      <w:pPr>
        <w:jc w:val="both"/>
      </w:pPr>
    </w:p>
    <w:p w14:paraId="4EB2E87E" w14:textId="77777777" w:rsidR="00BB7FB4" w:rsidRDefault="00AB2E18" w:rsidP="00AB2E18">
      <w:pPr>
        <w:jc w:val="both"/>
      </w:pPr>
      <w:r>
        <w:t>Alcune domande del questionario meritano un approfondimento.</w:t>
      </w:r>
    </w:p>
    <w:p w14:paraId="2EAC303C" w14:textId="77777777" w:rsidR="00013374" w:rsidRDefault="00013374" w:rsidP="00013374">
      <w:pPr>
        <w:jc w:val="both"/>
      </w:pPr>
      <w:r>
        <w:t>Innanzi tutto, a nostro avviso la domanda D9 – “</w:t>
      </w:r>
      <w:r w:rsidRPr="005552FA">
        <w:t>Se vi fosse stata una diversa programmazione delle attività didattiche, avrebbe frequentato questo insegnamento?</w:t>
      </w:r>
      <w:r>
        <w:t>” deve essere analizzata sugli studenti non frequentanti, con l’obiettivo di capire se la causa della mancata frequenza possa o meno risiedere in un impedimento causato da una eventuale scarsa adeguatezza della programmazione delle attività didattiche.</w:t>
      </w:r>
    </w:p>
    <w:p w14:paraId="2825F853" w14:textId="36B6C3E3" w:rsidR="00013374" w:rsidRDefault="00013374" w:rsidP="00AB2E18">
      <w:pPr>
        <w:jc w:val="both"/>
      </w:pPr>
      <w:r>
        <w:t>Fra gli studenti</w:t>
      </w:r>
      <w:r w:rsidRPr="008021C2">
        <w:t xml:space="preserve"> </w:t>
      </w:r>
      <w:r>
        <w:t>che, per l’A.A. 2021-2022, dichiarano una frequenza inferiore al 50% delle lezioni solamente il 24,1% risponde alla domanda in questione, in linea con il numero di rispondenti dell’A.A. precedente: di questi il 47,13% esprime un punteggio inferiore a 6/10 per il quesito, ad indicare che la mancata frequenza delle lezioni non è legata alla programmazione delle attività didattiche; il restante</w:t>
      </w:r>
      <w:r w:rsidRPr="00DD720F">
        <w:t xml:space="preserve"> </w:t>
      </w:r>
      <w:r>
        <w:t>52,87% esprime, invece, un punteggio non inferiore a 6/10, testimoniando una dipendenza della mancata frequenza dalla programmazione delle attività didattiche. In ogni caso, il punteggio complessivamente assegnato alla domanda è basso, attestandosi su un valore pari a 6,23/10, ad indicare che l’intensità della dipendenza è piuttosto contenuta. Inoltre, il dato è in discesa rispetto al precedente A.A. (-3,72%) ed inferiore ai corrispondenti dati di Macroarea (-1,01%) e di Ateneo (-2,88%).</w:t>
      </w:r>
    </w:p>
    <w:p w14:paraId="0AB4AF62" w14:textId="196B8EB4" w:rsidR="00D30ECB" w:rsidRDefault="00FF374C" w:rsidP="00AB2E18">
      <w:pPr>
        <w:jc w:val="both"/>
      </w:pPr>
      <w:r>
        <w:t>Per l</w:t>
      </w:r>
      <w:r w:rsidR="00ED3B95">
        <w:t>a domanda D17 – “</w:t>
      </w:r>
      <w:r w:rsidR="00ED3B95" w:rsidRPr="00ED3B95">
        <w:t>Nella preparazione all’esame ha usufruito del ricevimento del docente per chiarimenti?</w:t>
      </w:r>
      <w:r>
        <w:t xml:space="preserve">” il </w:t>
      </w:r>
      <w:proofErr w:type="spellStart"/>
      <w:r w:rsidR="006826EC">
        <w:t>CdS</w:t>
      </w:r>
      <w:proofErr w:type="spellEnd"/>
      <w:r>
        <w:t xml:space="preserve"> ottiene un punteggio </w:t>
      </w:r>
      <w:r w:rsidR="00306FB1">
        <w:t>inferiore a quello di Macroarea nella misura dell’8,18%</w:t>
      </w:r>
      <w:r w:rsidR="0084752D">
        <w:t xml:space="preserve">, che rappresenta un’intensità rilevante. Questo scarso punteggio potrebbe essere attribuito a due possibili cause: la prima potrebbe essere la scarsa disponibilità dei docenti </w:t>
      </w:r>
      <w:r w:rsidR="00D30ECB">
        <w:t xml:space="preserve">a fornire chiarimenti </w:t>
      </w:r>
      <w:r w:rsidR="00D16A21">
        <w:t xml:space="preserve">(domanda D18, per la quale il </w:t>
      </w:r>
      <w:proofErr w:type="spellStart"/>
      <w:r w:rsidR="006826EC">
        <w:t>CdS</w:t>
      </w:r>
      <w:proofErr w:type="spellEnd"/>
      <w:r w:rsidR="00D16A21">
        <w:t xml:space="preserve"> sembrerebbe presentare una forte criticità</w:t>
      </w:r>
      <w:r w:rsidR="00F50820">
        <w:t>, con un punteggio inferiore di ben 9,57% a quello di Macroarea</w:t>
      </w:r>
      <w:r w:rsidR="00FB7626">
        <w:t>). Tuttavia, questa causa sembra essere attenuata rispetto a quanto potrebbe apparire da una prima impressione, dato che la domanda D</w:t>
      </w:r>
      <w:r w:rsidR="00E7053D">
        <w:t>6 – “</w:t>
      </w:r>
      <w:r w:rsidR="00E7053D" w:rsidRPr="00E7053D">
        <w:t xml:space="preserve">Il docente si è mostrato disponibile a fornire </w:t>
      </w:r>
      <w:r w:rsidR="00E7053D" w:rsidRPr="00E7053D">
        <w:lastRenderedPageBreak/>
        <w:t>chiarimenti e spiegazioni?</w:t>
      </w:r>
      <w:r w:rsidR="00E7053D">
        <w:t>” ottiene un punteggio di 8,61/10</w:t>
      </w:r>
      <w:r w:rsidR="00644ED3">
        <w:t xml:space="preserve"> (anche se inferiore al punteggio di Macroarea, pari a 8,91/10).</w:t>
      </w:r>
    </w:p>
    <w:p w14:paraId="3F9B47BC" w14:textId="30EDB444" w:rsidR="00CF3550" w:rsidRDefault="00CF3550" w:rsidP="00AB2E18">
      <w:pPr>
        <w:jc w:val="both"/>
      </w:pPr>
      <w:r>
        <w:t xml:space="preserve">L’altra possibile causa </w:t>
      </w:r>
      <w:r w:rsidR="00474204">
        <w:t>di un punteggio particolarmente basso per la domanda D17 – “</w:t>
      </w:r>
      <w:r w:rsidR="00474204" w:rsidRPr="00474204">
        <w:t>Nella preparazione all’esame ha usufruito del ricevimento del docente per chiarimenti?</w:t>
      </w:r>
      <w:r w:rsidR="00474204">
        <w:t xml:space="preserve">” potrebbe essere </w:t>
      </w:r>
      <w:r w:rsidR="007C5E1E">
        <w:t xml:space="preserve">attribuita al fatto che l’aver frequentato le lezioni aiuta gli studenti nella preparazione dell’esame e rende meno </w:t>
      </w:r>
      <w:r w:rsidR="00F15029">
        <w:t>necessario usufruire del ricevimento del docente</w:t>
      </w:r>
      <w:r w:rsidR="007C5E1E">
        <w:t xml:space="preserve">: </w:t>
      </w:r>
      <w:r w:rsidR="00C1080D">
        <w:t>quest</w:t>
      </w:r>
      <w:r w:rsidR="00E71A25">
        <w:t xml:space="preserve">a spiegazione potrebbe essere supportata </w:t>
      </w:r>
      <w:r w:rsidR="00503996">
        <w:t xml:space="preserve">da un lato </w:t>
      </w:r>
      <w:r w:rsidR="00E71A25">
        <w:t>dai voti elevati ottenuti nelle domande D10 – “</w:t>
      </w:r>
      <w:r w:rsidR="00B51041" w:rsidRPr="00B51041">
        <w:t>In generale, per la sua formazione, ritiene che la frequenza alle lezioni sia utile?</w:t>
      </w:r>
      <w:r w:rsidR="00B51041">
        <w:t>” e D11 – “</w:t>
      </w:r>
      <w:r w:rsidR="00B51041" w:rsidRPr="00B51041">
        <w:t>In generale, per il superamento degli esami, ritiene che la frequenza alle lezioni sia utile?</w:t>
      </w:r>
      <w:r w:rsidR="00B51041">
        <w:t>”</w:t>
      </w:r>
      <w:r w:rsidR="00503996">
        <w:t xml:space="preserve">, pari rispettivamente a 8,82/10 e 8,88/10; </w:t>
      </w:r>
      <w:r w:rsidR="00F72565">
        <w:t xml:space="preserve">dall’altro, </w:t>
      </w:r>
      <w:r w:rsidR="00FA13AF">
        <w:t xml:space="preserve">da un’analisi più approfondita delle risposte alla domanda </w:t>
      </w:r>
      <w:r w:rsidR="00BE359B">
        <w:t>D18 – “</w:t>
      </w:r>
      <w:r w:rsidR="00D2167E" w:rsidRPr="00D2167E">
        <w:t>Il docente dell’insegnamento è stato reperibile per chiarimenti durante l’ora di ricevimento o tramite email?</w:t>
      </w:r>
      <w:r w:rsidR="00D2167E">
        <w:t xml:space="preserve">”. A questa domanda ha risposto solamente il </w:t>
      </w:r>
      <w:r w:rsidR="005623F8">
        <w:t>14,</w:t>
      </w:r>
      <w:r w:rsidR="009B34E3">
        <w:t>8% degli studenti frequentanti</w:t>
      </w:r>
      <w:r w:rsidR="00274C48">
        <w:t xml:space="preserve">: fra i rispondenti, il </w:t>
      </w:r>
      <w:r w:rsidR="000A0861">
        <w:t xml:space="preserve">30% </w:t>
      </w:r>
      <w:r w:rsidR="00274C48">
        <w:t xml:space="preserve">si è espresso </w:t>
      </w:r>
      <w:r w:rsidR="00E02EA2">
        <w:t xml:space="preserve">con punteggio sotto il 6/10, </w:t>
      </w:r>
      <w:r w:rsidR="00274C48">
        <w:t>mentre il rimanente</w:t>
      </w:r>
      <w:r w:rsidR="00E02EA2">
        <w:t xml:space="preserve"> </w:t>
      </w:r>
      <w:r w:rsidR="000A0861">
        <w:t xml:space="preserve">70% </w:t>
      </w:r>
      <w:r w:rsidR="00CB49A2">
        <w:t>con punteggio sopra il 6/10</w:t>
      </w:r>
      <w:r w:rsidR="00274C48">
        <w:t>.</w:t>
      </w:r>
      <w:r w:rsidR="00E96A49">
        <w:t xml:space="preserve"> </w:t>
      </w:r>
      <w:r w:rsidR="004966A6">
        <w:t>Combinando questi dati per giungere ad una sintesi, quindi</w:t>
      </w:r>
      <w:r w:rsidR="00B73856">
        <w:t xml:space="preserve">, risulta che </w:t>
      </w:r>
      <w:r w:rsidR="00BD49CC">
        <w:t xml:space="preserve">solo il </w:t>
      </w:r>
      <w:r w:rsidR="00394B20">
        <w:t xml:space="preserve">4,44% </w:t>
      </w:r>
      <w:r w:rsidR="00BD49CC">
        <w:t xml:space="preserve">di </w:t>
      </w:r>
      <w:r w:rsidR="00F34455">
        <w:t>frequentanti</w:t>
      </w:r>
      <w:r w:rsidR="00BD49CC">
        <w:t xml:space="preserve"> </w:t>
      </w:r>
      <w:r w:rsidR="00F34455">
        <w:t xml:space="preserve">esprime un punteggio </w:t>
      </w:r>
      <w:r w:rsidR="00BD49CC">
        <w:t>sotto il 6/10</w:t>
      </w:r>
      <w:r w:rsidR="004E1E7E">
        <w:t>. Un’analisi della domanda D6 – “</w:t>
      </w:r>
      <w:r w:rsidR="001F74FC" w:rsidRPr="001F74FC">
        <w:t>Il docente si è mostrato disponibile a fornire chiarimenti e spiegazioni?</w:t>
      </w:r>
      <w:r w:rsidR="001F74FC">
        <w:t xml:space="preserve">” conforta ancora l’ipotesi che non sia la scarsa disponibilità dei docenti a determinare il mancato ricorso al ricevimento per le spiegazioni sugli argomenti dei corsi. Infatti, in questo caso </w:t>
      </w:r>
      <w:r w:rsidR="001B7C0D">
        <w:t xml:space="preserve">il 68,09% dei frequentanti si è espresso </w:t>
      </w:r>
      <w:r w:rsidR="000C6F90">
        <w:t xml:space="preserve">in merito al quesito posto e, fra i rispondenti, </w:t>
      </w:r>
      <w:r w:rsidR="00C75933">
        <w:t xml:space="preserve">solo il 5,79% ha espresso un punteggio inferiore a 6/10, mentre il restante </w:t>
      </w:r>
      <w:r w:rsidR="00E92CA6">
        <w:t xml:space="preserve">94,21% ha </w:t>
      </w:r>
      <w:r w:rsidR="00CC02EE">
        <w:t>espresso un punteggio maggiore di 6/10.</w:t>
      </w:r>
    </w:p>
    <w:p w14:paraId="2207191C" w14:textId="29BD033E" w:rsidR="006711ED" w:rsidRDefault="006711ED" w:rsidP="00AB2E18">
      <w:pPr>
        <w:jc w:val="both"/>
      </w:pPr>
      <w:r>
        <w:t xml:space="preserve">È appena il caso di notare, poi, che </w:t>
      </w:r>
      <w:r w:rsidR="00883527">
        <w:t>il punteggio ottenuto sulla domanda D6 è in aumento rispetto all’A.A. precedente (+</w:t>
      </w:r>
      <w:r w:rsidR="009F418F">
        <w:t>0,36%), mentre quello della domanda D18 è in diminuzione (-</w:t>
      </w:r>
      <w:r w:rsidR="000268B6">
        <w:t>4,64%); altresì, è in diminuzione l’indicatore D17</w:t>
      </w:r>
      <w:r w:rsidR="005710F0">
        <w:t xml:space="preserve"> (-4,46%), testimoniando, così, che la frequenza alle lezioni riduce la necessità di usufruire del ricevimento del docente per spiegazioni.</w:t>
      </w:r>
    </w:p>
    <w:p w14:paraId="59085E8C" w14:textId="6483DD5C" w:rsidR="00AB2E18" w:rsidRDefault="00BB7FB4" w:rsidP="004A5B9D">
      <w:pPr>
        <w:jc w:val="both"/>
      </w:pPr>
      <w:r>
        <w:t>Pertanto, anche se sulle domande D17</w:t>
      </w:r>
      <w:r w:rsidR="00F2758E">
        <w:t xml:space="preserve"> e D18 il </w:t>
      </w:r>
      <w:proofErr w:type="spellStart"/>
      <w:r w:rsidR="006826EC">
        <w:t>CdS</w:t>
      </w:r>
      <w:proofErr w:type="spellEnd"/>
      <w:r w:rsidR="00F2758E">
        <w:t xml:space="preserve"> </w:t>
      </w:r>
      <w:r w:rsidR="0061294C">
        <w:t>presenta un punteggio nettamente inferiore a quello di Macroarea, non sembrano evidenziarsi criticità rispetto a queste aree.</w:t>
      </w:r>
    </w:p>
    <w:p w14:paraId="6DCDFFC8" w14:textId="210D2F0D" w:rsidR="0061294C" w:rsidRDefault="005A7E54" w:rsidP="004A5B9D">
      <w:pPr>
        <w:jc w:val="both"/>
      </w:pPr>
      <w:r>
        <w:t>Infine, è degna di approfondimento la domanda D19 – “</w:t>
      </w:r>
      <w:r w:rsidR="00F91D74" w:rsidRPr="00F91D74">
        <w:t>Ha trovato difficoltà nella preparazione all’esame non avendo frequentato?</w:t>
      </w:r>
      <w:r w:rsidR="00F91D74">
        <w:t xml:space="preserve">”: anche in questo caso, infatti, il </w:t>
      </w:r>
      <w:proofErr w:type="spellStart"/>
      <w:r w:rsidR="006826EC">
        <w:t>CdS</w:t>
      </w:r>
      <w:proofErr w:type="spellEnd"/>
      <w:r w:rsidR="00F91D74">
        <w:t xml:space="preserve"> sembra ottenere un punteggio basso (</w:t>
      </w:r>
      <w:r w:rsidR="00DF4A09">
        <w:t>6,17/10)</w:t>
      </w:r>
      <w:r w:rsidR="00D13454">
        <w:t>, ma bisogna ricordare che le risposte a questa domanda arrivano dalla platea di studenti frequentanti.</w:t>
      </w:r>
    </w:p>
    <w:p w14:paraId="732EFE3A" w14:textId="20ADC80E" w:rsidR="0076193D" w:rsidRDefault="0076193D" w:rsidP="004A5B9D">
      <w:pPr>
        <w:jc w:val="both"/>
      </w:pPr>
      <w:r>
        <w:t>Se si analizzano le risposte degli studenti che hanno dichiarato una frequenza inferiore al 50%</w:t>
      </w:r>
      <w:r w:rsidR="00D04130">
        <w:t xml:space="preserve"> questa domanda ottiene un punteggio </w:t>
      </w:r>
      <w:r w:rsidR="00370EDB">
        <w:t>pari a 5,44/10, in aumento rispetto allo scorso A.A. (+10,03%)</w:t>
      </w:r>
      <w:r w:rsidR="00341A78">
        <w:t>, ma comunque inferiore al corrispondente punteggio della Macroarea (-8,29%)</w:t>
      </w:r>
      <w:r w:rsidR="003E6BA3">
        <w:t>.</w:t>
      </w:r>
      <w:r w:rsidR="005F3F59">
        <w:t xml:space="preserve"> In particolare, </w:t>
      </w:r>
      <w:r w:rsidR="00352573">
        <w:t>il 57% degli studenti non frequentanti dichiara un punteggio inferiore a 6/10</w:t>
      </w:r>
      <w:r w:rsidR="00A670C8">
        <w:t xml:space="preserve"> per questa domanda, testimoniando una difficoltà limitata nella preparazione agli esami </w:t>
      </w:r>
      <w:r w:rsidR="00F23191">
        <w:t xml:space="preserve">anche in caso di non frequenza dei corsi; il restante 43% dichiara un punteggio </w:t>
      </w:r>
      <w:r w:rsidR="003D1114">
        <w:t>non inferiore</w:t>
      </w:r>
      <w:r w:rsidR="00F23191">
        <w:t xml:space="preserve"> a 6/10. Gli studenti che rilevano una difficoltà nel prepararsi agli esami in caso di non frequenza ai corsi sono, quindi, meno della metà.</w:t>
      </w:r>
    </w:p>
    <w:p w14:paraId="0D6A40D9" w14:textId="77777777" w:rsidR="00A77A0D" w:rsidRDefault="00A77A0D" w:rsidP="004A5B9D">
      <w:pPr>
        <w:jc w:val="both"/>
      </w:pPr>
    </w:p>
    <w:p w14:paraId="5F5CDB5B" w14:textId="77777777" w:rsidR="00A07A89" w:rsidRPr="00022D19" w:rsidRDefault="00A07A89" w:rsidP="00022D19">
      <w:pPr>
        <w:jc w:val="both"/>
      </w:pPr>
      <w:r w:rsidRPr="00022D19">
        <w:t>Criticità 2</w:t>
      </w:r>
    </w:p>
    <w:p w14:paraId="652E47DE" w14:textId="77777777" w:rsidR="00167AA1" w:rsidRPr="00022D19" w:rsidRDefault="00167AA1" w:rsidP="00022D19">
      <w:pPr>
        <w:jc w:val="both"/>
      </w:pPr>
    </w:p>
    <w:p w14:paraId="16DCACBB" w14:textId="3DD6108F" w:rsidR="003E694C" w:rsidRPr="00022D19" w:rsidRDefault="003E694C" w:rsidP="00022D19">
      <w:pPr>
        <w:autoSpaceDE w:val="0"/>
        <w:autoSpaceDN w:val="0"/>
        <w:adjustRightInd w:val="0"/>
        <w:jc w:val="both"/>
      </w:pPr>
      <w:r w:rsidRPr="00022D19">
        <w:t xml:space="preserve">Allo scopo di valutare </w:t>
      </w:r>
      <w:r w:rsidR="00961E57" w:rsidRPr="00022D19">
        <w:t xml:space="preserve">l’opinione </w:t>
      </w:r>
      <w:r w:rsidRPr="00022D19">
        <w:t>degli studenti relativa alle loro carriere</w:t>
      </w:r>
      <w:r w:rsidR="00961E57" w:rsidRPr="00022D19">
        <w:t>,</w:t>
      </w:r>
      <w:r w:rsidRPr="00022D19">
        <w:t xml:space="preserve"> nel complesso si fa riferimento alla rilevazione </w:t>
      </w:r>
      <w:r w:rsidR="00961E57" w:rsidRPr="00022D19">
        <w:t xml:space="preserve">dell’opinione </w:t>
      </w:r>
      <w:r w:rsidRPr="00022D19">
        <w:t xml:space="preserve">dei laureati in Ingegneria Gestionale del nostro Ateneo nel </w:t>
      </w:r>
      <w:r w:rsidR="00702223" w:rsidRPr="00022D19">
        <w:t>20</w:t>
      </w:r>
      <w:r w:rsidR="00702223">
        <w:t>21</w:t>
      </w:r>
      <w:r w:rsidR="00702223" w:rsidRPr="00022D19">
        <w:t xml:space="preserve"> </w:t>
      </w:r>
      <w:r w:rsidRPr="00022D19">
        <w:t xml:space="preserve">effettuata da Almalaurea. Tali valutazioni sono state comparate con le stesse valutazioni relative </w:t>
      </w:r>
      <w:r w:rsidR="00EB0D45" w:rsidRPr="00022D19">
        <w:t>all’anno</w:t>
      </w:r>
      <w:r w:rsidRPr="00022D19">
        <w:t xml:space="preserve"> precedent</w:t>
      </w:r>
      <w:r w:rsidR="00EB0D45" w:rsidRPr="00022D19">
        <w:t>e</w:t>
      </w:r>
      <w:r w:rsidRPr="00022D19">
        <w:t xml:space="preserve"> e alle valutazioni degli altri corsi di laurea della stessa classe di laurea (L-9 ingegneria industriale) a livello di Ateneo e nazionale.</w:t>
      </w:r>
    </w:p>
    <w:p w14:paraId="2661D9AC" w14:textId="21E0C05D" w:rsidR="003E694C" w:rsidRDefault="003E694C" w:rsidP="00022D19">
      <w:pPr>
        <w:autoSpaceDE w:val="0"/>
        <w:autoSpaceDN w:val="0"/>
        <w:adjustRightInd w:val="0"/>
        <w:jc w:val="both"/>
      </w:pPr>
      <w:r w:rsidRPr="00022D19">
        <w:t xml:space="preserve">Hanno risposto al questionario </w:t>
      </w:r>
      <w:r w:rsidR="00050A3F">
        <w:t>84</w:t>
      </w:r>
      <w:r w:rsidR="001349A1" w:rsidRPr="00022D19">
        <w:t xml:space="preserve"> </w:t>
      </w:r>
      <w:r w:rsidRPr="00022D19">
        <w:t xml:space="preserve">su </w:t>
      </w:r>
      <w:r w:rsidR="00050A3F">
        <w:t>85</w:t>
      </w:r>
      <w:r w:rsidR="00050A3F" w:rsidRPr="00022D19">
        <w:t xml:space="preserve"> </w:t>
      </w:r>
      <w:r w:rsidRPr="00022D19">
        <w:t>(</w:t>
      </w:r>
      <w:r w:rsidR="00050A3F">
        <w:t>98,8</w:t>
      </w:r>
      <w:r w:rsidRPr="00022D19">
        <w:t xml:space="preserve">%) laureati in Ingegneria Gestionale contro </w:t>
      </w:r>
      <w:r w:rsidR="001349A1">
        <w:t>i</w:t>
      </w:r>
      <w:r w:rsidR="001349A1" w:rsidRPr="00022D19">
        <w:t xml:space="preserve"> </w:t>
      </w:r>
      <w:r w:rsidR="00050A3F">
        <w:t xml:space="preserve">99 </w:t>
      </w:r>
      <w:r w:rsidRPr="00022D19">
        <w:t xml:space="preserve">su </w:t>
      </w:r>
      <w:r w:rsidR="00050A3F">
        <w:t>103</w:t>
      </w:r>
      <w:r w:rsidR="00050A3F" w:rsidRPr="00022D19">
        <w:t xml:space="preserve"> </w:t>
      </w:r>
      <w:r w:rsidR="00961E57" w:rsidRPr="00022D19">
        <w:t xml:space="preserve">– </w:t>
      </w:r>
      <w:r w:rsidR="000950A2" w:rsidRPr="00022D19">
        <w:t>9</w:t>
      </w:r>
      <w:r w:rsidR="000950A2">
        <w:t>6</w:t>
      </w:r>
      <w:r w:rsidR="00961E57" w:rsidRPr="00022D19">
        <w:t>,</w:t>
      </w:r>
      <w:r w:rsidR="00050A3F">
        <w:t>1</w:t>
      </w:r>
      <w:r w:rsidR="00961E57" w:rsidRPr="00022D19">
        <w:t xml:space="preserve">% – </w:t>
      </w:r>
      <w:r w:rsidRPr="00022D19">
        <w:t xml:space="preserve">del </w:t>
      </w:r>
      <w:r w:rsidR="000950A2" w:rsidRPr="00022D19">
        <w:t>20</w:t>
      </w:r>
      <w:r w:rsidR="000950A2">
        <w:t>2</w:t>
      </w:r>
      <w:r w:rsidR="00050A3F">
        <w:t>1</w:t>
      </w:r>
      <w:r w:rsidRPr="00022D19">
        <w:t>.</w:t>
      </w:r>
    </w:p>
    <w:p w14:paraId="0E7BA50E" w14:textId="77777777" w:rsidR="00BB1E7F" w:rsidRPr="00022D19" w:rsidRDefault="00BB1E7F" w:rsidP="00022D19">
      <w:pPr>
        <w:autoSpaceDE w:val="0"/>
        <w:autoSpaceDN w:val="0"/>
        <w:adjustRightInd w:val="0"/>
        <w:jc w:val="both"/>
      </w:pPr>
    </w:p>
    <w:p w14:paraId="2FE16CC3" w14:textId="2D55BFBD" w:rsidR="00D81600" w:rsidRDefault="003E694C" w:rsidP="00022D19">
      <w:pPr>
        <w:autoSpaceDE w:val="0"/>
        <w:autoSpaceDN w:val="0"/>
        <w:adjustRightInd w:val="0"/>
        <w:jc w:val="both"/>
      </w:pPr>
      <w:r w:rsidRPr="00022D19">
        <w:t xml:space="preserve">I giudizi </w:t>
      </w:r>
      <w:r w:rsidR="00961E57" w:rsidRPr="00022D19">
        <w:t xml:space="preserve">sull’esperienza </w:t>
      </w:r>
      <w:r w:rsidRPr="00022D19">
        <w:t xml:space="preserve">universitaria sono positivi: </w:t>
      </w:r>
      <w:r w:rsidR="00EA38E4">
        <w:t xml:space="preserve">anche se </w:t>
      </w:r>
      <w:r w:rsidRPr="00022D19">
        <w:t xml:space="preserve">i </w:t>
      </w:r>
      <w:r w:rsidR="00B361D2" w:rsidRPr="00022D19">
        <w:t>“</w:t>
      </w:r>
      <w:r w:rsidRPr="00022D19">
        <w:t>decisamente soddisfatti</w:t>
      </w:r>
      <w:r w:rsidR="00B361D2" w:rsidRPr="00022D19">
        <w:t xml:space="preserve">” </w:t>
      </w:r>
      <w:r w:rsidRPr="00022D19">
        <w:t xml:space="preserve">per il </w:t>
      </w:r>
      <w:proofErr w:type="spellStart"/>
      <w:r w:rsidR="006826EC">
        <w:t>CdS</w:t>
      </w:r>
      <w:proofErr w:type="spellEnd"/>
      <w:r w:rsidRPr="00022D19">
        <w:t xml:space="preserve"> sono </w:t>
      </w:r>
      <w:r w:rsidR="00050A3F">
        <w:t>diminuiti</w:t>
      </w:r>
      <w:r w:rsidR="00050A3F" w:rsidRPr="00022D19">
        <w:t xml:space="preserve"> </w:t>
      </w:r>
      <w:r w:rsidRPr="00022D19">
        <w:t xml:space="preserve">rispetto </w:t>
      </w:r>
      <w:r w:rsidR="00EB0D45" w:rsidRPr="00022D19">
        <w:t xml:space="preserve">all’anno precedente, </w:t>
      </w:r>
      <w:r w:rsidRPr="00022D19">
        <w:t xml:space="preserve">attestandosi al </w:t>
      </w:r>
      <w:r w:rsidR="00050A3F">
        <w:t>26,2</w:t>
      </w:r>
      <w:r w:rsidR="0050419B">
        <w:t>%</w:t>
      </w:r>
      <w:r w:rsidR="00D22037" w:rsidRPr="00022D19">
        <w:t xml:space="preserve"> </w:t>
      </w:r>
      <w:r w:rsidR="00EB0D45" w:rsidRPr="00022D19">
        <w:t xml:space="preserve">contro il </w:t>
      </w:r>
      <w:r w:rsidR="006D5D07">
        <w:t>4</w:t>
      </w:r>
      <w:r w:rsidR="00050A3F">
        <w:t>4,4</w:t>
      </w:r>
      <w:r w:rsidRPr="00022D19">
        <w:t>%</w:t>
      </w:r>
      <w:r w:rsidR="00E214BA" w:rsidRPr="00022D19">
        <w:t xml:space="preserve"> </w:t>
      </w:r>
      <w:r w:rsidR="00EB0D45" w:rsidRPr="00022D19">
        <w:t>de</w:t>
      </w:r>
      <w:r w:rsidR="00E214BA" w:rsidRPr="00022D19">
        <w:t xml:space="preserve">l </w:t>
      </w:r>
      <w:r w:rsidR="006D5D07" w:rsidRPr="00022D19">
        <w:t>20</w:t>
      </w:r>
      <w:r w:rsidR="006D5D07">
        <w:t>2</w:t>
      </w:r>
      <w:r w:rsidR="00050A3F">
        <w:t>1</w:t>
      </w:r>
      <w:r w:rsidR="000A2E6D">
        <w:t>,</w:t>
      </w:r>
      <w:r w:rsidR="000A2E6D" w:rsidRPr="00022D19">
        <w:t xml:space="preserve"> </w:t>
      </w:r>
      <w:r w:rsidR="00050A3F">
        <w:t>aumentano</w:t>
      </w:r>
      <w:r w:rsidR="00CE005A">
        <w:t xml:space="preserve"> </w:t>
      </w:r>
      <w:r w:rsidR="00D22037" w:rsidRPr="00022D19">
        <w:t xml:space="preserve">le </w:t>
      </w:r>
      <w:r w:rsidRPr="00022D19">
        <w:t xml:space="preserve">risposte </w:t>
      </w:r>
      <w:r w:rsidR="00B361D2" w:rsidRPr="00022D19">
        <w:t>di tipo “</w:t>
      </w:r>
      <w:r w:rsidRPr="00022D19">
        <w:t>più sì che no</w:t>
      </w:r>
      <w:r w:rsidR="00B361D2" w:rsidRPr="00022D19">
        <w:t>”</w:t>
      </w:r>
      <w:r w:rsidR="000A2E6D">
        <w:t>,</w:t>
      </w:r>
      <w:r w:rsidR="006D5D07">
        <w:t xml:space="preserve"> </w:t>
      </w:r>
      <w:r w:rsidR="00050A3F" w:rsidRPr="00022D19">
        <w:t xml:space="preserve">attestandosi al </w:t>
      </w:r>
      <w:r w:rsidR="00050A3F">
        <w:t>61,9%</w:t>
      </w:r>
      <w:r w:rsidR="00050A3F" w:rsidRPr="00022D19">
        <w:t xml:space="preserve"> contro il </w:t>
      </w:r>
      <w:r w:rsidR="00050A3F">
        <w:t>52,5</w:t>
      </w:r>
      <w:r w:rsidR="00050A3F" w:rsidRPr="00022D19">
        <w:t>% del 20</w:t>
      </w:r>
      <w:r w:rsidR="00050A3F">
        <w:t>21</w:t>
      </w:r>
      <w:r w:rsidR="006B4D44">
        <w:t>.</w:t>
      </w:r>
      <w:r w:rsidR="00E363C7">
        <w:t xml:space="preserve"> </w:t>
      </w:r>
      <w:r w:rsidR="006B4D44">
        <w:t xml:space="preserve">Parallelamente, </w:t>
      </w:r>
      <w:r w:rsidR="00050A3F">
        <w:t xml:space="preserve">aumentano </w:t>
      </w:r>
      <w:r w:rsidR="002A1263">
        <w:t>dal</w:t>
      </w:r>
      <w:r w:rsidR="00050A3F">
        <w:t xml:space="preserve"> 2</w:t>
      </w:r>
      <w:r w:rsidR="002A1263">
        <w:t>% (202</w:t>
      </w:r>
      <w:r w:rsidR="00050A3F">
        <w:t>1</w:t>
      </w:r>
      <w:r w:rsidR="002A1263">
        <w:t xml:space="preserve">) </w:t>
      </w:r>
      <w:r w:rsidR="00E363C7">
        <w:t xml:space="preserve">al </w:t>
      </w:r>
      <w:r w:rsidR="00050A3F">
        <w:t>10</w:t>
      </w:r>
      <w:r w:rsidR="00E363C7">
        <w:t>,</w:t>
      </w:r>
      <w:r w:rsidR="00050A3F">
        <w:t>7</w:t>
      </w:r>
      <w:r w:rsidR="00E363C7">
        <w:t>%</w:t>
      </w:r>
      <w:r w:rsidR="002A1263">
        <w:t xml:space="preserve"> (202</w:t>
      </w:r>
      <w:r w:rsidR="00050A3F">
        <w:t>2</w:t>
      </w:r>
      <w:r w:rsidR="002A1263">
        <w:t>)</w:t>
      </w:r>
      <w:r w:rsidR="00E363C7">
        <w:t xml:space="preserve"> le risposte di tipo “più no che sì”</w:t>
      </w:r>
      <w:r w:rsidRPr="00022D19">
        <w:t>.</w:t>
      </w:r>
      <w:r w:rsidR="004B1D93" w:rsidRPr="00022D19">
        <w:t xml:space="preserve"> </w:t>
      </w:r>
      <w:r w:rsidR="00B52C1D">
        <w:t xml:space="preserve">Nel complesso, </w:t>
      </w:r>
      <w:r w:rsidR="005721CF">
        <w:t xml:space="preserve">quindi, gli studenti “soddisfatti” o “decisamente soddisfatti” diminuiscono del </w:t>
      </w:r>
      <w:r w:rsidR="00D42163">
        <w:t>9,1%, anche se la loro percentuale rimane</w:t>
      </w:r>
      <w:r w:rsidR="00381334">
        <w:t>,</w:t>
      </w:r>
      <w:r w:rsidR="00D42163">
        <w:t xml:space="preserve"> </w:t>
      </w:r>
      <w:r w:rsidR="00381334">
        <w:t xml:space="preserve">nel complesso, </w:t>
      </w:r>
      <w:r w:rsidR="00D42163">
        <w:t>alta (</w:t>
      </w:r>
      <w:r w:rsidR="00381334">
        <w:t>88,1%)</w:t>
      </w:r>
      <w:r w:rsidR="00D81600">
        <w:t>. A livello di Macroarea, invece, la soddisfazione degli studenti è in crescita (+</w:t>
      </w:r>
      <w:r w:rsidR="00BB4127">
        <w:t xml:space="preserve">1,5%) </w:t>
      </w:r>
      <w:r w:rsidR="00752D3E">
        <w:t xml:space="preserve">rispetto all’anno precedente </w:t>
      </w:r>
      <w:r w:rsidR="00BB4127">
        <w:t xml:space="preserve">e maggiore che a livello di </w:t>
      </w:r>
      <w:proofErr w:type="spellStart"/>
      <w:r w:rsidR="006826EC">
        <w:t>CdS</w:t>
      </w:r>
      <w:proofErr w:type="spellEnd"/>
      <w:r w:rsidR="00BB4127">
        <w:t xml:space="preserve"> (</w:t>
      </w:r>
      <w:r w:rsidR="00376ABB">
        <w:t>89,4%)</w:t>
      </w:r>
      <w:r w:rsidR="00B913FB">
        <w:t xml:space="preserve">. Lo stesso accade a livello di Ateneo: la soddisfazione </w:t>
      </w:r>
      <w:r w:rsidR="005B679A">
        <w:t>si mantiene sostanzialmente stabile</w:t>
      </w:r>
      <w:r w:rsidR="00752D3E">
        <w:t xml:space="preserve"> rispetto al 2021</w:t>
      </w:r>
      <w:r w:rsidR="005B679A">
        <w:t xml:space="preserve"> e decisamente maggiore di quella a livello di </w:t>
      </w:r>
      <w:proofErr w:type="spellStart"/>
      <w:r w:rsidR="006826EC">
        <w:t>CdS</w:t>
      </w:r>
      <w:proofErr w:type="spellEnd"/>
      <w:r w:rsidR="005B679A">
        <w:t xml:space="preserve"> (</w:t>
      </w:r>
      <w:r w:rsidR="006D19EF">
        <w:t>90,7%).</w:t>
      </w:r>
    </w:p>
    <w:p w14:paraId="235AE2D8" w14:textId="2ADF2633" w:rsidR="00C24919" w:rsidRDefault="002A40D5" w:rsidP="00022D19">
      <w:pPr>
        <w:autoSpaceDE w:val="0"/>
        <w:autoSpaceDN w:val="0"/>
        <w:adjustRightInd w:val="0"/>
        <w:jc w:val="both"/>
      </w:pPr>
      <w:r>
        <w:t>Anche i</w:t>
      </w:r>
      <w:r w:rsidRPr="00022D19">
        <w:t xml:space="preserve"> </w:t>
      </w:r>
      <w:r w:rsidR="003E694C" w:rsidRPr="00022D19">
        <w:t xml:space="preserve">giudizi sui rapporti con i docenti </w:t>
      </w:r>
      <w:r w:rsidR="00C24919">
        <w:t>diminuiscono</w:t>
      </w:r>
      <w:r w:rsidR="004D5BB5" w:rsidRPr="00022D19">
        <w:t xml:space="preserve">: </w:t>
      </w:r>
      <w:r w:rsidR="003E694C" w:rsidRPr="00022D19">
        <w:t xml:space="preserve">i </w:t>
      </w:r>
      <w:r w:rsidR="004D5BB5" w:rsidRPr="00022D19">
        <w:t>“</w:t>
      </w:r>
      <w:r w:rsidR="003E694C" w:rsidRPr="00022D19">
        <w:t>decisamente soddisfatti</w:t>
      </w:r>
      <w:r w:rsidR="004D5BB5" w:rsidRPr="00022D19">
        <w:t>”</w:t>
      </w:r>
      <w:r w:rsidR="003E694C" w:rsidRPr="00022D19">
        <w:t xml:space="preserve"> </w:t>
      </w:r>
      <w:r w:rsidR="004F5204">
        <w:t>si dimezzano (</w:t>
      </w:r>
      <w:r w:rsidR="00C24919">
        <w:t>d</w:t>
      </w:r>
      <w:r w:rsidR="003E694C" w:rsidRPr="00022D19">
        <w:t xml:space="preserve">al </w:t>
      </w:r>
      <w:r w:rsidR="00276DD1">
        <w:t>14</w:t>
      </w:r>
      <w:r w:rsidR="00DC6B32">
        <w:t>,</w:t>
      </w:r>
      <w:r w:rsidR="00276DD1">
        <w:t>1</w:t>
      </w:r>
      <w:r w:rsidR="00D22037" w:rsidRPr="00022D19">
        <w:t>%</w:t>
      </w:r>
      <w:r w:rsidR="00C24919">
        <w:t xml:space="preserve"> del 2021 al 7,1% del 2022</w:t>
      </w:r>
      <w:r w:rsidR="004F5204">
        <w:t>)</w:t>
      </w:r>
      <w:r w:rsidR="00C24919">
        <w:t xml:space="preserve">, </w:t>
      </w:r>
      <w:r w:rsidR="00B1636A">
        <w:t>mentre</w:t>
      </w:r>
      <w:r w:rsidR="00B1636A" w:rsidRPr="00022D19">
        <w:t xml:space="preserve"> </w:t>
      </w:r>
      <w:r w:rsidR="003E694C" w:rsidRPr="00022D19">
        <w:t xml:space="preserve">i </w:t>
      </w:r>
      <w:r w:rsidR="004D5BB5" w:rsidRPr="00022D19">
        <w:t>“</w:t>
      </w:r>
      <w:r w:rsidR="003E694C" w:rsidRPr="00022D19">
        <w:t>più s</w:t>
      </w:r>
      <w:r w:rsidR="00B24892" w:rsidRPr="00022D19">
        <w:t>ì</w:t>
      </w:r>
      <w:r w:rsidR="003E694C" w:rsidRPr="00022D19">
        <w:t xml:space="preserve"> che no</w:t>
      </w:r>
      <w:r w:rsidR="004D5BB5" w:rsidRPr="00022D19">
        <w:t xml:space="preserve">” </w:t>
      </w:r>
      <w:r w:rsidR="00B1636A">
        <w:t xml:space="preserve">passano </w:t>
      </w:r>
      <w:r w:rsidR="00C24919">
        <w:t>d</w:t>
      </w:r>
      <w:r w:rsidR="003E694C" w:rsidRPr="00022D19">
        <w:t xml:space="preserve">al </w:t>
      </w:r>
      <w:r w:rsidR="00276DD1">
        <w:t>77</w:t>
      </w:r>
      <w:r w:rsidR="00F84C93">
        <w:t>,</w:t>
      </w:r>
      <w:r w:rsidR="00276DD1">
        <w:t>8</w:t>
      </w:r>
      <w:r w:rsidR="003E694C" w:rsidRPr="00022D19">
        <w:t xml:space="preserve">% </w:t>
      </w:r>
      <w:r w:rsidR="00C24919">
        <w:t>del 2021 al 70,2% del 2022</w:t>
      </w:r>
      <w:r w:rsidR="00B1636A">
        <w:t xml:space="preserve"> (-9,8%)</w:t>
      </w:r>
      <w:r w:rsidR="00C24919">
        <w:t xml:space="preserve">. </w:t>
      </w:r>
      <w:r w:rsidR="004B1D93" w:rsidRPr="00022D19">
        <w:t>I dati relativi all’anno in esame</w:t>
      </w:r>
      <w:r w:rsidR="00B24892" w:rsidRPr="00022D19">
        <w:t xml:space="preserve"> per quanto concerne i “decisamente soddisfatti</w:t>
      </w:r>
      <w:r w:rsidR="004D5BB5" w:rsidRPr="00022D19">
        <w:t>”</w:t>
      </w:r>
      <w:r w:rsidR="00B24892" w:rsidRPr="00022D19">
        <w:t xml:space="preserve"> del</w:t>
      </w:r>
      <w:r w:rsidR="004B1D93" w:rsidRPr="00022D19">
        <w:t xml:space="preserve"> rapporto con i docenti </w:t>
      </w:r>
      <w:r w:rsidR="00FE4370">
        <w:t>sono</w:t>
      </w:r>
      <w:r w:rsidR="004B1D93" w:rsidRPr="00022D19">
        <w:t xml:space="preserve"> </w:t>
      </w:r>
      <w:r w:rsidR="003524FF">
        <w:t>inferiori anche al dato di Macroarea (</w:t>
      </w:r>
      <w:r w:rsidR="003F2F7C">
        <w:t>18,4%)</w:t>
      </w:r>
      <w:r w:rsidR="007D02E5">
        <w:t xml:space="preserve"> e a quello di Ateneo (30,2%). L’andamento in peggioramento </w:t>
      </w:r>
      <w:r w:rsidR="00026F8C">
        <w:t xml:space="preserve">si conferma anche considerando il collettivo dei “decisamente soddisfatti” o “soddisfatti” </w:t>
      </w:r>
      <w:r w:rsidR="00DE5CF4">
        <w:t xml:space="preserve">e confrontando i dati di </w:t>
      </w:r>
      <w:proofErr w:type="spellStart"/>
      <w:r w:rsidR="006826EC">
        <w:t>CdS</w:t>
      </w:r>
      <w:proofErr w:type="spellEnd"/>
      <w:r w:rsidR="00DE5CF4">
        <w:t xml:space="preserve">, Macroarea e Ateneo (rispettivamente </w:t>
      </w:r>
      <w:r w:rsidR="0062212A">
        <w:t>77,3%, 83,3% e 88,8%).</w:t>
      </w:r>
    </w:p>
    <w:p w14:paraId="7DF2D3F4" w14:textId="67ADDCC1" w:rsidR="003E694C" w:rsidRPr="00022D19" w:rsidRDefault="00E01714" w:rsidP="00022D19">
      <w:pPr>
        <w:autoSpaceDE w:val="0"/>
        <w:autoSpaceDN w:val="0"/>
        <w:adjustRightInd w:val="0"/>
        <w:jc w:val="both"/>
      </w:pPr>
      <w:r w:rsidRPr="00022D19">
        <w:t>A</w:t>
      </w:r>
      <w:r w:rsidR="003E694C" w:rsidRPr="00022D19">
        <w:t>nche i giudizi sui rapporti con gli altri studenti</w:t>
      </w:r>
      <w:r w:rsidR="00D9119F" w:rsidRPr="00022D19">
        <w:t xml:space="preserve"> sono</w:t>
      </w:r>
      <w:r w:rsidRPr="00022D19">
        <w:t xml:space="preserve">, nel complesso, </w:t>
      </w:r>
      <w:r w:rsidR="00E001F4">
        <w:t xml:space="preserve">in flessione: </w:t>
      </w:r>
      <w:r w:rsidR="00972265">
        <w:t>i “decisamente soddisfatti” sono l’</w:t>
      </w:r>
      <w:r w:rsidR="00C24919">
        <w:t>88,1</w:t>
      </w:r>
      <w:r w:rsidR="00A617F3">
        <w:t xml:space="preserve">% </w:t>
      </w:r>
      <w:r w:rsidRPr="00022D19">
        <w:t>degli studenti</w:t>
      </w:r>
      <w:r w:rsidR="004372A7">
        <w:t>, se in diminuzione rispetto al</w:t>
      </w:r>
      <w:r w:rsidRPr="00022D19">
        <w:t xml:space="preserve"> </w:t>
      </w:r>
      <w:r w:rsidR="00C24919">
        <w:t>92</w:t>
      </w:r>
      <w:r w:rsidR="0042393A" w:rsidRPr="00022D19">
        <w:t>,</w:t>
      </w:r>
      <w:r w:rsidR="00C24919">
        <w:t>9</w:t>
      </w:r>
      <w:r w:rsidR="0042393A" w:rsidRPr="00022D19">
        <w:t>%</w:t>
      </w:r>
      <w:r w:rsidRPr="00022D19">
        <w:t xml:space="preserve"> dell’anno accademico precedente.</w:t>
      </w:r>
      <w:r w:rsidR="00D9119F" w:rsidRPr="00022D19">
        <w:t xml:space="preserve"> </w:t>
      </w:r>
      <w:r w:rsidR="003E694C" w:rsidRPr="00022D19">
        <w:t xml:space="preserve">I dati sono </w:t>
      </w:r>
      <w:r w:rsidR="009B224C">
        <w:t xml:space="preserve">inferiori ai corrispondenti di Macroarea </w:t>
      </w:r>
      <w:r w:rsidR="00E6637C">
        <w:t>(</w:t>
      </w:r>
      <w:r w:rsidR="00C24919">
        <w:t>92,6</w:t>
      </w:r>
      <w:r w:rsidR="00E6637C">
        <w:t>%)</w:t>
      </w:r>
      <w:r w:rsidR="003E694C" w:rsidRPr="00022D19">
        <w:t xml:space="preserve"> </w:t>
      </w:r>
      <w:r w:rsidR="00396888">
        <w:t xml:space="preserve">e di </w:t>
      </w:r>
      <w:r w:rsidR="00002081">
        <w:t>Ateneo</w:t>
      </w:r>
      <w:r w:rsidR="00002081" w:rsidRPr="00022D19">
        <w:t xml:space="preserve"> </w:t>
      </w:r>
      <w:r w:rsidR="00002081">
        <w:t>(</w:t>
      </w:r>
      <w:r w:rsidR="00571DBC">
        <w:t>93,</w:t>
      </w:r>
      <w:r w:rsidR="00C24919">
        <w:t>5</w:t>
      </w:r>
      <w:r w:rsidR="00571DBC">
        <w:t>%)</w:t>
      </w:r>
      <w:r w:rsidR="00396888">
        <w:t>, che si mantengono sostanzialmente stabili rispetto allo scorso anno</w:t>
      </w:r>
      <w:r w:rsidR="003E694C" w:rsidRPr="00022D19">
        <w:t>.</w:t>
      </w:r>
    </w:p>
    <w:p w14:paraId="7900C06E" w14:textId="0CD79BC5" w:rsidR="005C6742" w:rsidRPr="00022D19" w:rsidRDefault="00D02E95" w:rsidP="00022D19">
      <w:pPr>
        <w:autoSpaceDE w:val="0"/>
        <w:autoSpaceDN w:val="0"/>
        <w:adjustRightInd w:val="0"/>
        <w:jc w:val="both"/>
      </w:pPr>
      <w:r>
        <w:t>I</w:t>
      </w:r>
      <w:r w:rsidR="00811E6E">
        <w:t xml:space="preserve">n </w:t>
      </w:r>
      <w:r w:rsidR="00C24919">
        <w:t xml:space="preserve">aumento </w:t>
      </w:r>
      <w:r w:rsidR="00811E6E">
        <w:t xml:space="preserve">rispetto al </w:t>
      </w:r>
      <w:r w:rsidR="00D026A5">
        <w:t>202</w:t>
      </w:r>
      <w:r w:rsidR="00C24919">
        <w:t>1</w:t>
      </w:r>
      <w:r w:rsidR="00D026A5">
        <w:t xml:space="preserve"> </w:t>
      </w:r>
      <w:r w:rsidR="00A04E0D" w:rsidRPr="00022D19">
        <w:t xml:space="preserve">la percentuale di studenti che hanno utilizzato aule informatiche </w:t>
      </w:r>
      <w:r w:rsidR="00811E6E">
        <w:t>(</w:t>
      </w:r>
      <w:r w:rsidR="00C24919">
        <w:t>32,1</w:t>
      </w:r>
      <w:r w:rsidR="00A04E0D" w:rsidRPr="00022D19">
        <w:t xml:space="preserve">% </w:t>
      </w:r>
      <w:r w:rsidR="00EF1937">
        <w:t xml:space="preserve">contro il precedente </w:t>
      </w:r>
      <w:r w:rsidR="00C24919">
        <w:t>17,2</w:t>
      </w:r>
      <w:r w:rsidR="003E694C" w:rsidRPr="00022D19">
        <w:t>%</w:t>
      </w:r>
      <w:r w:rsidR="00C24919">
        <w:t>)</w:t>
      </w:r>
      <w:r w:rsidR="00FE3AE8">
        <w:t xml:space="preserve"> e i servizi di biblioteca (65,5% contro il </w:t>
      </w:r>
      <w:r w:rsidR="004A0734">
        <w:t xml:space="preserve">precedente </w:t>
      </w:r>
      <w:r w:rsidR="00FE3AE8">
        <w:t>57,6%</w:t>
      </w:r>
      <w:r w:rsidR="004A0734">
        <w:t>)</w:t>
      </w:r>
      <w:r w:rsidR="003E694C" w:rsidRPr="00022D19">
        <w:t>.</w:t>
      </w:r>
    </w:p>
    <w:p w14:paraId="79366B0C" w14:textId="4EF723AA" w:rsidR="003E694C" w:rsidRPr="00022D19" w:rsidRDefault="003E694C" w:rsidP="00022D19">
      <w:pPr>
        <w:autoSpaceDE w:val="0"/>
        <w:autoSpaceDN w:val="0"/>
        <w:adjustRightInd w:val="0"/>
        <w:jc w:val="both"/>
      </w:pPr>
      <w:r w:rsidRPr="00022D19">
        <w:t>Le valutazioni</w:t>
      </w:r>
      <w:r w:rsidR="00E1750D">
        <w:t xml:space="preserve"> per le aule (</w:t>
      </w:r>
      <w:r w:rsidR="00CC4F31">
        <w:t>considerate decisamente adeguate o adeguate dall’88,1% del campione)</w:t>
      </w:r>
      <w:r w:rsidRPr="00022D19">
        <w:t xml:space="preserve"> </w:t>
      </w:r>
      <w:r w:rsidR="00227671">
        <w:t xml:space="preserve">non </w:t>
      </w:r>
      <w:r w:rsidRPr="00022D19">
        <w:t xml:space="preserve">sono migliori di quelle </w:t>
      </w:r>
      <w:r w:rsidR="00227671">
        <w:t>di Macroarea</w:t>
      </w:r>
      <w:r w:rsidR="00227671" w:rsidRPr="00022D19">
        <w:t xml:space="preserve"> </w:t>
      </w:r>
      <w:r w:rsidR="003F666E">
        <w:t>(</w:t>
      </w:r>
      <w:r w:rsidR="00227671">
        <w:t>90</w:t>
      </w:r>
      <w:r w:rsidR="006E7E84">
        <w:t>,</w:t>
      </w:r>
      <w:r w:rsidR="00227671">
        <w:t>9</w:t>
      </w:r>
      <w:r w:rsidR="006E7E84">
        <w:t>%)</w:t>
      </w:r>
      <w:r w:rsidR="00227671">
        <w:t xml:space="preserve">, ma lo sono rispetto a quelle </w:t>
      </w:r>
      <w:r w:rsidRPr="00022D19">
        <w:t xml:space="preserve">di </w:t>
      </w:r>
      <w:r w:rsidR="001947E1" w:rsidRPr="00022D19">
        <w:t xml:space="preserve">Ateneo </w:t>
      </w:r>
      <w:r w:rsidR="003F666E">
        <w:t>(8</w:t>
      </w:r>
      <w:r w:rsidR="00227671">
        <w:t>3</w:t>
      </w:r>
      <w:r w:rsidR="003F666E">
        <w:t>,</w:t>
      </w:r>
      <w:r w:rsidR="00227671">
        <w:t>2</w:t>
      </w:r>
      <w:r w:rsidR="003F666E">
        <w:t>%)</w:t>
      </w:r>
      <w:r w:rsidR="007804D0">
        <w:t>;</w:t>
      </w:r>
      <w:r w:rsidRPr="00022D19">
        <w:t xml:space="preserve"> mentre </w:t>
      </w:r>
      <w:r w:rsidR="007D1B0D">
        <w:t xml:space="preserve">i servizi di biblioteca </w:t>
      </w:r>
      <w:r w:rsidR="000566B6">
        <w:t xml:space="preserve">(considerati decisamente adeguati o adeguati dal </w:t>
      </w:r>
      <w:r w:rsidR="00611D19">
        <w:t>74,5% del campione</w:t>
      </w:r>
      <w:r w:rsidR="002B7FBF">
        <w:t xml:space="preserve"> contro il 78,9% del 2021</w:t>
      </w:r>
      <w:r w:rsidR="00611D19">
        <w:t>) ottengono valutazioni</w:t>
      </w:r>
      <w:r w:rsidR="00611D19" w:rsidRPr="00022D19">
        <w:t xml:space="preserve"> </w:t>
      </w:r>
      <w:r w:rsidR="00073507">
        <w:t>più basse di</w:t>
      </w:r>
      <w:r w:rsidR="00073507" w:rsidRPr="00022D19">
        <w:t xml:space="preserve"> </w:t>
      </w:r>
      <w:r w:rsidRPr="00022D19">
        <w:t xml:space="preserve">quelle </w:t>
      </w:r>
      <w:r w:rsidR="00227671">
        <w:t>di Macroarea</w:t>
      </w:r>
      <w:r w:rsidR="00227671" w:rsidRPr="00022D19">
        <w:t xml:space="preserve"> </w:t>
      </w:r>
      <w:r w:rsidR="00011BB5">
        <w:t>(</w:t>
      </w:r>
      <w:r w:rsidR="00227671">
        <w:t>76</w:t>
      </w:r>
      <w:r w:rsidR="008C1583">
        <w:t>,</w:t>
      </w:r>
      <w:r w:rsidR="00227671">
        <w:t>3</w:t>
      </w:r>
      <w:r w:rsidR="008C1583">
        <w:t>%</w:t>
      </w:r>
      <w:r w:rsidR="00011BB5">
        <w:t>)</w:t>
      </w:r>
      <w:r w:rsidR="00227671">
        <w:t xml:space="preserve"> e </w:t>
      </w:r>
      <w:r w:rsidR="00E20A1B">
        <w:t xml:space="preserve">molto più basse </w:t>
      </w:r>
      <w:r w:rsidR="00227671">
        <w:t xml:space="preserve">di </w:t>
      </w:r>
      <w:r w:rsidR="006428B9">
        <w:t xml:space="preserve">quelle di </w:t>
      </w:r>
      <w:r w:rsidRPr="00022D19">
        <w:t xml:space="preserve">Ateneo </w:t>
      </w:r>
      <w:r w:rsidR="00011BB5">
        <w:t>(</w:t>
      </w:r>
      <w:r w:rsidR="00227671">
        <w:t>88,6</w:t>
      </w:r>
      <w:r w:rsidR="008C1583">
        <w:t>%</w:t>
      </w:r>
      <w:r w:rsidR="00011BB5">
        <w:t>)</w:t>
      </w:r>
      <w:r w:rsidR="00B87182">
        <w:t>. Infine,</w:t>
      </w:r>
      <w:r w:rsidRPr="00022D19">
        <w:t xml:space="preserve"> </w:t>
      </w:r>
      <w:r w:rsidR="0003382E">
        <w:t>l</w:t>
      </w:r>
      <w:r w:rsidR="00FB529C">
        <w:t>a valutazione delle</w:t>
      </w:r>
      <w:r w:rsidR="0003382E">
        <w:t xml:space="preserve"> </w:t>
      </w:r>
      <w:r w:rsidRPr="00022D19">
        <w:t>attrezzature per altre attività didattiche</w:t>
      </w:r>
      <w:r w:rsidR="0003382E">
        <w:t xml:space="preserve"> </w:t>
      </w:r>
      <w:r w:rsidR="00D85BE4">
        <w:t>–</w:t>
      </w:r>
      <w:r w:rsidR="00FB529C">
        <w:t xml:space="preserve"> </w:t>
      </w:r>
      <w:r w:rsidR="00D85BE4">
        <w:t xml:space="preserve">per le quali </w:t>
      </w:r>
      <w:r w:rsidR="004A0734">
        <w:t xml:space="preserve">il </w:t>
      </w:r>
      <w:r w:rsidR="00227671">
        <w:t>62,1</w:t>
      </w:r>
      <w:r w:rsidR="00D85BE4">
        <w:t>% esprime un giudizio positivo – è</w:t>
      </w:r>
      <w:r w:rsidR="0006064F">
        <w:t xml:space="preserve"> </w:t>
      </w:r>
      <w:r w:rsidR="00227671">
        <w:t xml:space="preserve">inferiore </w:t>
      </w:r>
      <w:r w:rsidR="008763DE">
        <w:t xml:space="preserve">a </w:t>
      </w:r>
      <w:r w:rsidR="00A61549">
        <w:t xml:space="preserve">quelle a livello di </w:t>
      </w:r>
      <w:r w:rsidR="008763DE">
        <w:t xml:space="preserve">Ateneo </w:t>
      </w:r>
      <w:r w:rsidR="00D73B2F">
        <w:t>(</w:t>
      </w:r>
      <w:r w:rsidR="0006064F">
        <w:t xml:space="preserve">il </w:t>
      </w:r>
      <w:r w:rsidR="00227671">
        <w:t>76,2</w:t>
      </w:r>
      <w:r w:rsidR="008763DE">
        <w:t xml:space="preserve">% </w:t>
      </w:r>
      <w:r w:rsidR="0006064F">
        <w:t>dei rispondenti esprime un giudizio positivo</w:t>
      </w:r>
      <w:r w:rsidR="00D73B2F">
        <w:t xml:space="preserve">) </w:t>
      </w:r>
      <w:r w:rsidR="00D934E0">
        <w:t xml:space="preserve">e </w:t>
      </w:r>
      <w:r w:rsidR="00227671">
        <w:t xml:space="preserve">di Macroarea </w:t>
      </w:r>
      <w:r w:rsidR="007949EC">
        <w:t>(</w:t>
      </w:r>
      <w:r w:rsidR="0006064F">
        <w:t xml:space="preserve">il </w:t>
      </w:r>
      <w:r w:rsidR="00227671">
        <w:t>75,8</w:t>
      </w:r>
      <w:r w:rsidR="00FB529C">
        <w:t>%</w:t>
      </w:r>
      <w:r w:rsidR="0006064F">
        <w:t xml:space="preserve"> dei rispondenti esprime un giudizio positivo</w:t>
      </w:r>
      <w:r w:rsidR="00FB529C">
        <w:t>)</w:t>
      </w:r>
      <w:r w:rsidRPr="00022D19">
        <w:t>.</w:t>
      </w:r>
    </w:p>
    <w:p w14:paraId="07E7CA20" w14:textId="04C297D2" w:rsidR="005C6742" w:rsidRPr="00022D19" w:rsidRDefault="005960E8" w:rsidP="00022D19">
      <w:pPr>
        <w:autoSpaceDE w:val="0"/>
        <w:autoSpaceDN w:val="0"/>
        <w:adjustRightInd w:val="0"/>
        <w:jc w:val="both"/>
      </w:pPr>
      <w:r w:rsidRPr="00022D19">
        <w:t xml:space="preserve">Va comunque </w:t>
      </w:r>
      <w:r w:rsidR="00430022" w:rsidRPr="00022D19">
        <w:t xml:space="preserve">considerato che la maggior parte degli insegnamenti del </w:t>
      </w:r>
      <w:proofErr w:type="spellStart"/>
      <w:r w:rsidR="006826EC">
        <w:t>CdS</w:t>
      </w:r>
      <w:proofErr w:type="spellEnd"/>
      <w:r w:rsidR="00430022" w:rsidRPr="00022D19">
        <w:t xml:space="preserve"> non </w:t>
      </w:r>
      <w:r w:rsidR="001947E1" w:rsidRPr="00022D19">
        <w:t xml:space="preserve">richiede </w:t>
      </w:r>
      <w:r w:rsidR="00430022" w:rsidRPr="00022D19">
        <w:t xml:space="preserve">specifiche attività integrative che necessitino </w:t>
      </w:r>
      <w:r w:rsidR="001947E1" w:rsidRPr="00022D19">
        <w:t xml:space="preserve">dell’uso </w:t>
      </w:r>
      <w:r w:rsidR="00430022" w:rsidRPr="00022D19">
        <w:t xml:space="preserve">di laboratori e </w:t>
      </w:r>
      <w:r w:rsidR="001947E1" w:rsidRPr="00022D19">
        <w:t xml:space="preserve">l’Ateneo </w:t>
      </w:r>
      <w:r w:rsidR="00430022" w:rsidRPr="00022D19">
        <w:t>ha puntato sulle biblioteche digitali.</w:t>
      </w:r>
    </w:p>
    <w:p w14:paraId="737F549F" w14:textId="70410AEA" w:rsidR="00EB0D45" w:rsidRPr="001040F7" w:rsidRDefault="00EB0D45" w:rsidP="00022D19">
      <w:pPr>
        <w:autoSpaceDE w:val="0"/>
        <w:autoSpaceDN w:val="0"/>
        <w:adjustRightInd w:val="0"/>
        <w:jc w:val="both"/>
      </w:pPr>
      <w:r w:rsidRPr="001040F7">
        <w:t xml:space="preserve">Si conferma la tendenza dei laureati di primo livello a proseguire gli studi </w:t>
      </w:r>
      <w:r w:rsidR="001A5CA4">
        <w:t>(</w:t>
      </w:r>
      <w:r w:rsidR="00227671">
        <w:t>94</w:t>
      </w:r>
      <w:r w:rsidR="00DC3B6F">
        <w:t xml:space="preserve">%) </w:t>
      </w:r>
      <w:r w:rsidRPr="001040F7">
        <w:t xml:space="preserve">con un </w:t>
      </w:r>
      <w:proofErr w:type="spellStart"/>
      <w:r w:rsidR="006826EC">
        <w:t>CdS</w:t>
      </w:r>
      <w:proofErr w:type="spellEnd"/>
      <w:r w:rsidRPr="001040F7">
        <w:t xml:space="preserve"> magistrale </w:t>
      </w:r>
      <w:r w:rsidR="00DC3B6F">
        <w:t>(</w:t>
      </w:r>
      <w:r w:rsidR="00227671">
        <w:t>86,9</w:t>
      </w:r>
      <w:r w:rsidR="00DC3B6F">
        <w:t>%), anche s</w:t>
      </w:r>
      <w:r w:rsidRPr="001040F7">
        <w:t xml:space="preserve">e la percentuale </w:t>
      </w:r>
      <w:r w:rsidR="00227671">
        <w:t xml:space="preserve">mostra una diminuzione </w:t>
      </w:r>
      <w:r w:rsidR="00DC3B6F">
        <w:t>rispetto a</w:t>
      </w:r>
      <w:r w:rsidRPr="00022D19">
        <w:t>ll’anno precedente</w:t>
      </w:r>
      <w:r w:rsidR="00DC3B6F">
        <w:t xml:space="preserve"> (</w:t>
      </w:r>
      <w:r w:rsidR="001722D3">
        <w:t xml:space="preserve">91,9% nel 2021 e </w:t>
      </w:r>
      <w:r w:rsidR="00227671">
        <w:t>93,</w:t>
      </w:r>
      <w:r w:rsidR="001722D3">
        <w:t>3</w:t>
      </w:r>
      <w:r w:rsidR="00493AEB">
        <w:t xml:space="preserve">% </w:t>
      </w:r>
      <w:r w:rsidR="001722D3">
        <w:t>nel2020</w:t>
      </w:r>
      <w:r w:rsidR="00493AEB">
        <w:t>)</w:t>
      </w:r>
      <w:r w:rsidRPr="00022D19">
        <w:t xml:space="preserve">. </w:t>
      </w:r>
      <w:r w:rsidR="009C4B12">
        <w:t xml:space="preserve">Aumenta di 5 punti la percentuale di studenti che </w:t>
      </w:r>
      <w:r w:rsidRPr="00022D19">
        <w:t xml:space="preserve">prosegue, invece, gli studi con altro tipo di formazione post </w:t>
      </w:r>
      <w:proofErr w:type="spellStart"/>
      <w:r w:rsidRPr="00022D19">
        <w:t>lauream</w:t>
      </w:r>
      <w:proofErr w:type="spellEnd"/>
      <w:r w:rsidR="00F14C6A" w:rsidRPr="00022D19">
        <w:t xml:space="preserve">, contro </w:t>
      </w:r>
      <w:r w:rsidR="0018202B">
        <w:t>l</w:t>
      </w:r>
      <w:r w:rsidR="00051A68">
        <w:t>’</w:t>
      </w:r>
      <w:r w:rsidR="009C4B12">
        <w:t>1</w:t>
      </w:r>
      <w:r w:rsidR="00F14C6A" w:rsidRPr="00022D19">
        <w:t>% dell’anno precedente</w:t>
      </w:r>
      <w:r w:rsidRPr="00022D19">
        <w:t>.</w:t>
      </w:r>
      <w:r w:rsidR="00051A68">
        <w:t xml:space="preserve"> </w:t>
      </w:r>
      <w:r w:rsidR="001973B9">
        <w:t>La</w:t>
      </w:r>
      <w:r w:rsidRPr="00022D19">
        <w:t xml:space="preserve"> percentuale di laureati </w:t>
      </w:r>
      <w:r w:rsidR="00046A57">
        <w:t xml:space="preserve">del </w:t>
      </w:r>
      <w:proofErr w:type="spellStart"/>
      <w:r w:rsidR="006826EC">
        <w:t>CdS</w:t>
      </w:r>
      <w:proofErr w:type="spellEnd"/>
      <w:r w:rsidR="00046A57">
        <w:t xml:space="preserve"> </w:t>
      </w:r>
      <w:r w:rsidRPr="00022D19">
        <w:t>che proseguono gli studi (</w:t>
      </w:r>
      <w:r w:rsidR="00F1090D">
        <w:t>9</w:t>
      </w:r>
      <w:r w:rsidR="009C4B12">
        <w:t>4</w:t>
      </w:r>
      <w:r w:rsidRPr="00022D19">
        <w:t xml:space="preserve">%) </w:t>
      </w:r>
      <w:r w:rsidR="001973B9">
        <w:t xml:space="preserve">è </w:t>
      </w:r>
      <w:r w:rsidR="009C4B12">
        <w:t>inferiore rispetto</w:t>
      </w:r>
      <w:r w:rsidR="009C4B12" w:rsidRPr="00022D19">
        <w:t xml:space="preserve"> </w:t>
      </w:r>
      <w:r w:rsidRPr="00022D19">
        <w:t xml:space="preserve">a quella </w:t>
      </w:r>
      <w:r w:rsidR="009C4B12">
        <w:t xml:space="preserve">di </w:t>
      </w:r>
      <w:r w:rsidR="00741988">
        <w:t>M</w:t>
      </w:r>
      <w:r w:rsidR="009C4B12">
        <w:t>acroarea</w:t>
      </w:r>
      <w:r w:rsidR="009C4B12" w:rsidRPr="00022D19">
        <w:t xml:space="preserve"> </w:t>
      </w:r>
      <w:r w:rsidRPr="00022D19">
        <w:t>(</w:t>
      </w:r>
      <w:r w:rsidR="009C4B12">
        <w:t>94,9</w:t>
      </w:r>
      <w:r w:rsidRPr="00022D19">
        <w:t xml:space="preserve">%) </w:t>
      </w:r>
      <w:r w:rsidR="007E6FD4">
        <w:t xml:space="preserve">e </w:t>
      </w:r>
      <w:r w:rsidR="009C4B12">
        <w:t xml:space="preserve">superiore </w:t>
      </w:r>
      <w:r w:rsidR="00352E3A">
        <w:t xml:space="preserve">a </w:t>
      </w:r>
      <w:r w:rsidRPr="00022D19">
        <w:t>quella di Ateneo (</w:t>
      </w:r>
      <w:r w:rsidR="009C4B12">
        <w:t>87,5</w:t>
      </w:r>
      <w:r w:rsidRPr="00022D19">
        <w:t>%)</w:t>
      </w:r>
      <w:r w:rsidR="004B7D2E" w:rsidRPr="001040F7">
        <w:t>.</w:t>
      </w:r>
    </w:p>
    <w:p w14:paraId="5D6A250A" w14:textId="0A4C9C83" w:rsidR="00D345CE" w:rsidRDefault="009C4B12" w:rsidP="00022D19">
      <w:pPr>
        <w:autoSpaceDE w:val="0"/>
        <w:autoSpaceDN w:val="0"/>
        <w:adjustRightInd w:val="0"/>
        <w:jc w:val="both"/>
      </w:pPr>
      <w:r>
        <w:t>Diminuisce</w:t>
      </w:r>
      <w:r w:rsidRPr="00022D19">
        <w:t xml:space="preserve"> </w:t>
      </w:r>
      <w:r w:rsidR="00D345CE" w:rsidRPr="00022D19">
        <w:t>la percentuale (</w:t>
      </w:r>
      <w:r w:rsidR="00C81FDB">
        <w:t>4</w:t>
      </w:r>
      <w:r>
        <w:t>5,9</w:t>
      </w:r>
      <w:r w:rsidR="00D345CE" w:rsidRPr="00022D19">
        <w:t xml:space="preserve">% contro il </w:t>
      </w:r>
      <w:r w:rsidR="00281371">
        <w:t>4</w:t>
      </w:r>
      <w:r>
        <w:t>9,5</w:t>
      </w:r>
      <w:r w:rsidR="00D345CE" w:rsidRPr="00022D19">
        <w:t xml:space="preserve">% dell’anno precedente) degli studenti che si laureano in corso, </w:t>
      </w:r>
      <w:r w:rsidR="005D14DE">
        <w:t xml:space="preserve">mentre </w:t>
      </w:r>
      <w:r>
        <w:t>aumenta</w:t>
      </w:r>
      <w:r w:rsidRPr="00022D19">
        <w:t xml:space="preserve"> </w:t>
      </w:r>
      <w:r w:rsidR="00D345CE" w:rsidRPr="00022D19">
        <w:t>quella degli studenti che si laureano con un anno di ritardo</w:t>
      </w:r>
      <w:r w:rsidR="00051A68">
        <w:t xml:space="preserve"> </w:t>
      </w:r>
      <w:r w:rsidR="000A420C" w:rsidRPr="00022D19">
        <w:t>(</w:t>
      </w:r>
      <w:r w:rsidR="000A420C">
        <w:t>31,8</w:t>
      </w:r>
      <w:r w:rsidR="000A420C" w:rsidRPr="00022D19">
        <w:t xml:space="preserve">% contro il </w:t>
      </w:r>
      <w:r w:rsidR="000A420C">
        <w:t>25,2</w:t>
      </w:r>
      <w:r w:rsidR="000A420C" w:rsidRPr="00022D19">
        <w:t>% dell’anno precedente)</w:t>
      </w:r>
      <w:r w:rsidR="00D345CE" w:rsidRPr="00022D19">
        <w:t xml:space="preserve">. Nel complesso </w:t>
      </w:r>
      <w:r>
        <w:t>rimane costante</w:t>
      </w:r>
      <w:r w:rsidR="00E46244" w:rsidRPr="00022D19">
        <w:t xml:space="preserve"> </w:t>
      </w:r>
      <w:r w:rsidR="00D345CE" w:rsidRPr="00022D19">
        <w:t>la durata media degli studi, che passa dai 4,</w:t>
      </w:r>
      <w:r>
        <w:t>5</w:t>
      </w:r>
      <w:r w:rsidR="00E46244" w:rsidRPr="00022D19">
        <w:t xml:space="preserve"> </w:t>
      </w:r>
      <w:r w:rsidR="00D345CE" w:rsidRPr="00022D19">
        <w:t xml:space="preserve">anni del </w:t>
      </w:r>
      <w:r w:rsidR="00E46244" w:rsidRPr="00022D19">
        <w:t>20</w:t>
      </w:r>
      <w:r w:rsidR="00E46244">
        <w:t>2</w:t>
      </w:r>
      <w:r>
        <w:t xml:space="preserve">1 </w:t>
      </w:r>
      <w:r w:rsidR="00D345CE" w:rsidRPr="00022D19">
        <w:t>ai 4,</w:t>
      </w:r>
      <w:r>
        <w:t>6</w:t>
      </w:r>
      <w:r w:rsidR="00E46244" w:rsidRPr="00022D19">
        <w:t xml:space="preserve"> </w:t>
      </w:r>
      <w:r w:rsidR="00D345CE" w:rsidRPr="00022D19">
        <w:t xml:space="preserve">anni del </w:t>
      </w:r>
      <w:r w:rsidR="009E5F59" w:rsidRPr="00022D19">
        <w:t>202</w:t>
      </w:r>
      <w:r>
        <w:t>2</w:t>
      </w:r>
      <w:r w:rsidR="00B22A52">
        <w:t>, con un ritardo alla laurea che si attesta su 1,</w:t>
      </w:r>
      <w:r>
        <w:t>6</w:t>
      </w:r>
      <w:r w:rsidR="00B22A52">
        <w:t xml:space="preserve"> anni</w:t>
      </w:r>
      <w:r w:rsidR="00D345CE" w:rsidRPr="00022D19">
        <w:t>.</w:t>
      </w:r>
      <w:r w:rsidR="00800993" w:rsidRPr="00022D19">
        <w:t xml:space="preserve"> </w:t>
      </w:r>
      <w:r w:rsidR="00AB5906">
        <w:t>Aumenta, di conseguenza,</w:t>
      </w:r>
      <w:r w:rsidR="00AB5906" w:rsidRPr="00022D19">
        <w:t xml:space="preserve"> </w:t>
      </w:r>
      <w:r w:rsidR="00800993" w:rsidRPr="00022D19">
        <w:t xml:space="preserve">l’età media alla laurea, che passa dai </w:t>
      </w:r>
      <w:r w:rsidR="00852662">
        <w:t>2</w:t>
      </w:r>
      <w:r>
        <w:t>4</w:t>
      </w:r>
      <w:r w:rsidR="00CE2AEB">
        <w:t xml:space="preserve"> </w:t>
      </w:r>
      <w:r w:rsidR="00800993" w:rsidRPr="00022D19">
        <w:t xml:space="preserve">anni del </w:t>
      </w:r>
      <w:r w:rsidR="00852662" w:rsidRPr="00022D19">
        <w:t>20</w:t>
      </w:r>
      <w:r w:rsidR="00852662">
        <w:t>2</w:t>
      </w:r>
      <w:r>
        <w:t>1</w:t>
      </w:r>
      <w:r w:rsidR="00852662" w:rsidRPr="00022D19">
        <w:t xml:space="preserve"> </w:t>
      </w:r>
      <w:r w:rsidR="00800993" w:rsidRPr="00022D19">
        <w:t xml:space="preserve">ai </w:t>
      </w:r>
      <w:r w:rsidR="00CE2AEB" w:rsidRPr="00022D19">
        <w:t>2</w:t>
      </w:r>
      <w:r w:rsidR="00CE2AEB">
        <w:t>4</w:t>
      </w:r>
      <w:r w:rsidR="00800993" w:rsidRPr="00022D19">
        <w:t>,</w:t>
      </w:r>
      <w:r>
        <w:t>1</w:t>
      </w:r>
      <w:r w:rsidR="00CE2AEB" w:rsidRPr="00022D19">
        <w:t xml:space="preserve"> </w:t>
      </w:r>
      <w:r w:rsidR="00800993" w:rsidRPr="00022D19">
        <w:t xml:space="preserve">anni del </w:t>
      </w:r>
      <w:r w:rsidR="00852662" w:rsidRPr="00022D19">
        <w:t>202</w:t>
      </w:r>
      <w:r>
        <w:t>2.</w:t>
      </w:r>
    </w:p>
    <w:p w14:paraId="3E9C583B" w14:textId="0E76CF42" w:rsidR="00756868" w:rsidRPr="00022D19" w:rsidRDefault="00756868" w:rsidP="00022D19">
      <w:pPr>
        <w:autoSpaceDE w:val="0"/>
        <w:autoSpaceDN w:val="0"/>
        <w:adjustRightInd w:val="0"/>
        <w:jc w:val="both"/>
      </w:pPr>
      <w:r>
        <w:lastRenderedPageBreak/>
        <w:t xml:space="preserve">Nel complesso, in ogni caso, </w:t>
      </w:r>
      <w:r w:rsidR="00E116CD">
        <w:t>la percentuale di</w:t>
      </w:r>
      <w:r>
        <w:t xml:space="preserve"> studenti laureati </w:t>
      </w:r>
      <w:r w:rsidR="00E116CD">
        <w:t xml:space="preserve">che </w:t>
      </w:r>
      <w:r>
        <w:t xml:space="preserve">dichiarano </w:t>
      </w:r>
      <w:r w:rsidR="00E116CD">
        <w:t xml:space="preserve">che sceglierebbero nuovamente lo stesso </w:t>
      </w:r>
      <w:proofErr w:type="spellStart"/>
      <w:r w:rsidR="006826EC">
        <w:t>CdS</w:t>
      </w:r>
      <w:proofErr w:type="spellEnd"/>
      <w:r w:rsidR="00E116CD">
        <w:t xml:space="preserve"> </w:t>
      </w:r>
      <w:r w:rsidR="008E0095">
        <w:t xml:space="preserve">(77,4%) </w:t>
      </w:r>
      <w:r w:rsidR="00B6126A">
        <w:t xml:space="preserve">è in leggero aumento rispetto all’anno precedente </w:t>
      </w:r>
      <w:r w:rsidR="008E0095">
        <w:t>e superiore a</w:t>
      </w:r>
      <w:r w:rsidR="003C4465">
        <w:t>i</w:t>
      </w:r>
      <w:r w:rsidR="008E0095">
        <w:t xml:space="preserve"> corrispondent</w:t>
      </w:r>
      <w:r w:rsidR="003C4465">
        <w:t>i</w:t>
      </w:r>
      <w:r w:rsidR="008E0095">
        <w:t xml:space="preserve"> valor</w:t>
      </w:r>
      <w:r w:rsidR="003C4465">
        <w:t>i</w:t>
      </w:r>
      <w:r w:rsidR="008E0095">
        <w:t xml:space="preserve"> di Macroarea (</w:t>
      </w:r>
      <w:r w:rsidR="003C4465">
        <w:t>67,8%) e di Ateneo (72,9%).</w:t>
      </w:r>
    </w:p>
    <w:p w14:paraId="091F02BE" w14:textId="42205BED" w:rsidR="000B1B5A" w:rsidRPr="00022D19" w:rsidRDefault="00BA1E1E" w:rsidP="00022D19">
      <w:pPr>
        <w:autoSpaceDE w:val="0"/>
        <w:autoSpaceDN w:val="0"/>
        <w:adjustRightInd w:val="0"/>
        <w:jc w:val="both"/>
      </w:pPr>
      <w:r w:rsidRPr="001040F7">
        <w:t xml:space="preserve">Infine, dal rapporto del Gruppo di Riesame emerge che per </w:t>
      </w:r>
      <w:r w:rsidR="008D4EF2">
        <w:t xml:space="preserve">il </w:t>
      </w:r>
      <w:r w:rsidR="000971E1">
        <w:t>2022-2023</w:t>
      </w:r>
      <w:r w:rsidR="000971E1" w:rsidRPr="001040F7">
        <w:t xml:space="preserve"> </w:t>
      </w:r>
      <w:r w:rsidRPr="001040F7">
        <w:t xml:space="preserve">la percentuale di studenti che si laureano </w:t>
      </w:r>
      <w:r w:rsidRPr="00022D19">
        <w:t xml:space="preserve">nel tempo previsto (indicatore iC02) è </w:t>
      </w:r>
      <w:r w:rsidR="005F0202">
        <w:t>in diminuzione</w:t>
      </w:r>
      <w:r w:rsidR="00E644B7">
        <w:t>,</w:t>
      </w:r>
      <w:r w:rsidR="005F0202">
        <w:t xml:space="preserve"> </w:t>
      </w:r>
      <w:r w:rsidR="00E644B7">
        <w:t>ma</w:t>
      </w:r>
      <w:r w:rsidR="005F0202">
        <w:t xml:space="preserve"> </w:t>
      </w:r>
      <w:r w:rsidRPr="00022D19">
        <w:t>superiore (</w:t>
      </w:r>
      <w:r w:rsidR="005B51F4">
        <w:t>+</w:t>
      </w:r>
      <w:r w:rsidR="00315E98">
        <w:t>4</w:t>
      </w:r>
      <w:r w:rsidR="002B5748">
        <w:t>3</w:t>
      </w:r>
      <w:r w:rsidRPr="00022D19">
        <w:t>%) rispetto alla media di Ateneo</w:t>
      </w:r>
      <w:r w:rsidR="00315E98">
        <w:t xml:space="preserve"> (</w:t>
      </w:r>
      <w:r w:rsidR="008027C1">
        <w:t>2</w:t>
      </w:r>
      <w:r w:rsidR="002B5748">
        <w:t>6,8</w:t>
      </w:r>
      <w:r w:rsidR="008A280D">
        <w:t>%)</w:t>
      </w:r>
      <w:r w:rsidR="00B96AD1">
        <w:t>, mentre</w:t>
      </w:r>
      <w:r w:rsidR="008A280D">
        <w:t xml:space="preserve"> </w:t>
      </w:r>
      <w:r w:rsidR="00B96AD1">
        <w:t xml:space="preserve">è </w:t>
      </w:r>
      <w:r w:rsidR="002B5748">
        <w:t xml:space="preserve">inferiore rispetto a </w:t>
      </w:r>
      <w:r w:rsidR="008A280D">
        <w:t>quella</w:t>
      </w:r>
      <w:r w:rsidRPr="00022D19">
        <w:t xml:space="preserve"> per l’area geografica (</w:t>
      </w:r>
      <w:r w:rsidR="008027C1" w:rsidRPr="00022D19">
        <w:t>4</w:t>
      </w:r>
      <w:r w:rsidR="002B5748">
        <w:t>4,3</w:t>
      </w:r>
      <w:r w:rsidRPr="00022D19">
        <w:t>%)</w:t>
      </w:r>
      <w:r w:rsidR="002B5748">
        <w:t>.</w:t>
      </w:r>
    </w:p>
    <w:p w14:paraId="733E510C" w14:textId="77777777" w:rsidR="00F425C4" w:rsidRPr="00022D19" w:rsidRDefault="00F425C4" w:rsidP="00022D19">
      <w:pPr>
        <w:autoSpaceDE w:val="0"/>
        <w:autoSpaceDN w:val="0"/>
        <w:adjustRightInd w:val="0"/>
        <w:jc w:val="both"/>
      </w:pPr>
    </w:p>
    <w:p w14:paraId="4A287BE5" w14:textId="5C2D69FF" w:rsidR="00BA1E1E" w:rsidRPr="001040F7" w:rsidRDefault="000B1B5A" w:rsidP="00951394">
      <w:pPr>
        <w:autoSpaceDE w:val="0"/>
        <w:autoSpaceDN w:val="0"/>
        <w:adjustRightInd w:val="0"/>
        <w:jc w:val="both"/>
      </w:pPr>
      <w:r w:rsidRPr="00022D19">
        <w:t>G</w:t>
      </w:r>
      <w:r w:rsidR="00BA1E1E" w:rsidRPr="00022D19">
        <w:t>li indicatori relativi ai tassi di occupabilità (iC0</w:t>
      </w:r>
      <w:r w:rsidRPr="00022D19">
        <w:t>6</w:t>
      </w:r>
      <w:r w:rsidR="00BA1E1E" w:rsidRPr="00022D19">
        <w:t xml:space="preserve"> e iC0</w:t>
      </w:r>
      <w:r w:rsidRPr="00022D19">
        <w:t>6</w:t>
      </w:r>
      <w:r w:rsidR="00BA1E1E" w:rsidRPr="00022D19">
        <w:t xml:space="preserve">BIS) mostrano valori costantemente </w:t>
      </w:r>
      <w:r w:rsidR="00444D6B">
        <w:t xml:space="preserve">in crescita e </w:t>
      </w:r>
      <w:r w:rsidR="00BA1E1E" w:rsidRPr="00022D19">
        <w:t xml:space="preserve">sopra ai livelli </w:t>
      </w:r>
      <w:r w:rsidRPr="00022D19">
        <w:t xml:space="preserve">di Ateneo, </w:t>
      </w:r>
      <w:r w:rsidR="002C124C">
        <w:t xml:space="preserve">a quelli degli Atenei non telematici </w:t>
      </w:r>
      <w:r w:rsidR="00BA1E1E" w:rsidRPr="00022D19">
        <w:t>dell’area geografica di pertinenza ed a quelli degli altri Atenei non telematici</w:t>
      </w:r>
      <w:r w:rsidR="00C32065">
        <w:t xml:space="preserve">; </w:t>
      </w:r>
      <w:r w:rsidR="00951394">
        <w:t xml:space="preserve">aumenta anche </w:t>
      </w:r>
      <w:r w:rsidR="00A60644">
        <w:t>il valore</w:t>
      </w:r>
      <w:r w:rsidR="00C32065" w:rsidRPr="00022D19">
        <w:t xml:space="preserve"> </w:t>
      </w:r>
      <w:r w:rsidR="00A60644">
        <w:t>del</w:t>
      </w:r>
      <w:r w:rsidR="00BA1E1E" w:rsidRPr="00022D19">
        <w:t>l’indicatore IC0</w:t>
      </w:r>
      <w:r w:rsidRPr="00022D19">
        <w:t>6</w:t>
      </w:r>
      <w:r w:rsidR="00BA1E1E" w:rsidRPr="00022D19">
        <w:t xml:space="preserve">TER del </w:t>
      </w:r>
      <w:r w:rsidR="00951394" w:rsidRPr="00022D19">
        <w:t>202</w:t>
      </w:r>
      <w:r w:rsidR="00951394">
        <w:t>2-2023</w:t>
      </w:r>
      <w:r w:rsidR="00951394" w:rsidRPr="00022D19">
        <w:t xml:space="preserve"> </w:t>
      </w:r>
      <w:r w:rsidR="00BA1E1E" w:rsidRPr="00022D19">
        <w:t>(</w:t>
      </w:r>
      <w:r w:rsidR="00791B1B">
        <w:t xml:space="preserve">dal </w:t>
      </w:r>
      <w:r w:rsidR="002B5748">
        <w:t>54,8</w:t>
      </w:r>
      <w:r w:rsidR="00791B1B">
        <w:t xml:space="preserve">% dell’anno precedente al </w:t>
      </w:r>
      <w:r w:rsidR="002B5748">
        <w:t>64</w:t>
      </w:r>
      <w:r w:rsidR="00BA1E1E" w:rsidRPr="00022D19">
        <w:t>%)</w:t>
      </w:r>
      <w:r w:rsidR="00646395">
        <w:t>,</w:t>
      </w:r>
      <w:r w:rsidR="00BA1E1E" w:rsidRPr="00022D19">
        <w:t xml:space="preserve"> </w:t>
      </w:r>
      <w:r w:rsidR="00DF116E">
        <w:t>che mostra un valore superiore a quello</w:t>
      </w:r>
      <w:r w:rsidR="00791B1B">
        <w:t xml:space="preserve"> di </w:t>
      </w:r>
      <w:r w:rsidRPr="00022D19">
        <w:t>Ateneo (</w:t>
      </w:r>
      <w:r w:rsidR="00791B1B">
        <w:t>al</w:t>
      </w:r>
      <w:r w:rsidR="002B5748">
        <w:t xml:space="preserve"> 59,7</w:t>
      </w:r>
      <w:r w:rsidR="00270EE5">
        <w:t>%</w:t>
      </w:r>
      <w:r w:rsidRPr="00022D19">
        <w:t>)</w:t>
      </w:r>
      <w:r w:rsidR="0079252E">
        <w:t xml:space="preserve"> e </w:t>
      </w:r>
      <w:r w:rsidR="00BA1E1E" w:rsidRPr="00022D19">
        <w:t xml:space="preserve">dell’area geografica di pertinenza </w:t>
      </w:r>
      <w:r w:rsidR="00A21642">
        <w:t>(63,8%), ma inferiore se confrontato con gli altri Atenei non telematici a livello nazionale (</w:t>
      </w:r>
      <w:r w:rsidR="00F964A7">
        <w:t>71,8%).</w:t>
      </w:r>
    </w:p>
    <w:p w14:paraId="17740BF2" w14:textId="7E38F09F" w:rsidR="002215E5" w:rsidRPr="001040F7" w:rsidRDefault="002215E5" w:rsidP="00022D19">
      <w:pPr>
        <w:autoSpaceDE w:val="0"/>
        <w:autoSpaceDN w:val="0"/>
        <w:adjustRightInd w:val="0"/>
        <w:jc w:val="both"/>
      </w:pPr>
      <w:r w:rsidRPr="001040F7">
        <w:t>Va sottolineata, infine, la scarsa capacità di attrarre studenti da altre Regioni</w:t>
      </w:r>
      <w:r w:rsidR="00F425C4" w:rsidRPr="001040F7">
        <w:t xml:space="preserve"> (indicatore iC03)</w:t>
      </w:r>
      <w:r w:rsidRPr="001040F7">
        <w:t xml:space="preserve">, che, per il </w:t>
      </w:r>
      <w:r w:rsidR="005D744F">
        <w:t>202</w:t>
      </w:r>
      <w:r w:rsidR="002B5748">
        <w:t>2</w:t>
      </w:r>
      <w:r w:rsidR="00F63909">
        <w:t>-2023</w:t>
      </w:r>
      <w:r w:rsidRPr="001040F7">
        <w:t xml:space="preserve">, si attesta </w:t>
      </w:r>
      <w:r w:rsidR="00221C77" w:rsidRPr="001040F7">
        <w:t>al</w:t>
      </w:r>
      <w:r w:rsidR="00221C77">
        <w:t xml:space="preserve"> </w:t>
      </w:r>
      <w:r w:rsidR="002B5748">
        <w:t>9,2</w:t>
      </w:r>
      <w:r w:rsidRPr="001040F7">
        <w:t xml:space="preserve">%, in </w:t>
      </w:r>
      <w:r w:rsidR="00261297">
        <w:t>leggero aumento</w:t>
      </w:r>
      <w:r w:rsidR="00261297" w:rsidRPr="001040F7">
        <w:t xml:space="preserve"> </w:t>
      </w:r>
      <w:r w:rsidRPr="001040F7">
        <w:t>rispetto all’anno precedente (</w:t>
      </w:r>
      <w:r w:rsidR="00261297">
        <w:t>8,9</w:t>
      </w:r>
      <w:r w:rsidRPr="001040F7">
        <w:t>%)</w:t>
      </w:r>
      <w:r w:rsidR="00261297">
        <w:t>, ma decisamente inferiore</w:t>
      </w:r>
      <w:r w:rsidRPr="001040F7">
        <w:t xml:space="preserve"> al livello raggiunto dall’Ateneo (</w:t>
      </w:r>
      <w:r w:rsidR="00EA6866">
        <w:t>20</w:t>
      </w:r>
      <w:r w:rsidR="001D5F45">
        <w:t>,</w:t>
      </w:r>
      <w:r w:rsidR="002B5748">
        <w:t>4</w:t>
      </w:r>
      <w:r w:rsidRPr="001040F7">
        <w:t>%), dagli Atenei non telematici della stessa area geografica (</w:t>
      </w:r>
      <w:r w:rsidR="001D5F45">
        <w:t>1</w:t>
      </w:r>
      <w:r w:rsidR="002B5748">
        <w:t>7,6</w:t>
      </w:r>
      <w:r w:rsidRPr="001040F7">
        <w:t>%) e degli altri Atenei non telematici a livello nazionale (</w:t>
      </w:r>
      <w:r w:rsidR="00EA6866" w:rsidRPr="001040F7">
        <w:t>2</w:t>
      </w:r>
      <w:r w:rsidR="002B5748">
        <w:t>1,4</w:t>
      </w:r>
      <w:r w:rsidRPr="001040F7">
        <w:t>%).</w:t>
      </w:r>
    </w:p>
    <w:p w14:paraId="013629E7" w14:textId="6973F49A" w:rsidR="00D42433" w:rsidRDefault="00BA1E1E" w:rsidP="00022D19">
      <w:pPr>
        <w:autoSpaceDE w:val="0"/>
        <w:autoSpaceDN w:val="0"/>
        <w:adjustRightInd w:val="0"/>
        <w:jc w:val="both"/>
      </w:pPr>
      <w:r w:rsidRPr="00022D19">
        <w:t>In conclusione</w:t>
      </w:r>
      <w:r w:rsidR="001D5F45">
        <w:t>,</w:t>
      </w:r>
      <w:r w:rsidRPr="00022D19">
        <w:t xml:space="preserve"> si ritengono sufficientemente buoni i valori degli indicatori relativi ai dati di ingresso e molto buoni quelli relativi ai dati di percorso e di uscita, tenendo anche conto del particolare periodo storico che ha sicuramente influito sull’erogazione della didattica e sulla possibilità di sfruttare appieno le possibilità che il </w:t>
      </w:r>
      <w:proofErr w:type="spellStart"/>
      <w:r w:rsidR="006826EC">
        <w:t>CdS</w:t>
      </w:r>
      <w:proofErr w:type="spellEnd"/>
      <w:r w:rsidRPr="00022D19">
        <w:t xml:space="preserve"> offre.</w:t>
      </w:r>
      <w:r w:rsidR="00EF4E4C">
        <w:t xml:space="preserve"> Si ritengono, inoltre, ottimi i dati sull’occupabilità.</w:t>
      </w:r>
    </w:p>
    <w:p w14:paraId="07DB0B27" w14:textId="1FE1C185" w:rsidR="00BA1E1E" w:rsidRPr="00022D19" w:rsidRDefault="00D42433" w:rsidP="00022D19">
      <w:pPr>
        <w:autoSpaceDE w:val="0"/>
        <w:autoSpaceDN w:val="0"/>
        <w:adjustRightInd w:val="0"/>
        <w:jc w:val="both"/>
      </w:pPr>
      <w:r>
        <w:t xml:space="preserve">Si evidenzia, invece, una generale diminuzione nel livello di </w:t>
      </w:r>
      <w:r w:rsidR="00BA1E1E" w:rsidRPr="00022D19">
        <w:t xml:space="preserve">soddisfazione dei laureati </w:t>
      </w:r>
      <w:r>
        <w:t xml:space="preserve">rispetto all’esperienza complessivamente </w:t>
      </w:r>
      <w:r w:rsidR="00EF4E4C">
        <w:t xml:space="preserve">vissuta nel </w:t>
      </w:r>
      <w:proofErr w:type="spellStart"/>
      <w:r w:rsidR="006826EC">
        <w:t>CdS</w:t>
      </w:r>
      <w:proofErr w:type="spellEnd"/>
      <w:r w:rsidR="00BA1E1E" w:rsidRPr="00022D19">
        <w:t>.</w:t>
      </w:r>
    </w:p>
    <w:p w14:paraId="794794E8" w14:textId="77777777" w:rsidR="00BA1E1E" w:rsidRPr="00022D19" w:rsidRDefault="00BA1E1E" w:rsidP="00022D19">
      <w:pPr>
        <w:autoSpaceDE w:val="0"/>
        <w:autoSpaceDN w:val="0"/>
        <w:adjustRightInd w:val="0"/>
        <w:jc w:val="both"/>
      </w:pPr>
    </w:p>
    <w:p w14:paraId="4AFAFA00" w14:textId="21F0DCA5" w:rsidR="00167AA1" w:rsidRPr="009969E0" w:rsidRDefault="00167AA1" w:rsidP="00022D19">
      <w:pPr>
        <w:jc w:val="both"/>
      </w:pPr>
      <w:r w:rsidRPr="009969E0">
        <w:t>b) Linee di azione identificate</w:t>
      </w:r>
    </w:p>
    <w:p w14:paraId="09DBA42F" w14:textId="77777777" w:rsidR="00167AA1" w:rsidRPr="00022D19" w:rsidRDefault="00167AA1" w:rsidP="00022D19">
      <w:pPr>
        <w:jc w:val="both"/>
        <w:rPr>
          <w:highlight w:val="yellow"/>
        </w:rPr>
      </w:pPr>
    </w:p>
    <w:p w14:paraId="7E002237" w14:textId="32C9C0BE" w:rsidR="00F425C4" w:rsidRPr="00022D19" w:rsidRDefault="00F425C4" w:rsidP="00022D19">
      <w:pPr>
        <w:autoSpaceDE w:val="0"/>
        <w:autoSpaceDN w:val="0"/>
        <w:adjustRightInd w:val="0"/>
        <w:jc w:val="both"/>
      </w:pPr>
      <w:r w:rsidRPr="001040F7">
        <w:t xml:space="preserve">Compatibilmente con le possibilità disponibili in questa particolare fase storica, è auspicabile </w:t>
      </w:r>
      <w:r w:rsidR="00652815">
        <w:t>implementare</w:t>
      </w:r>
      <w:r w:rsidRPr="001040F7">
        <w:t xml:space="preserve"> azioni per m</w:t>
      </w:r>
      <w:r w:rsidRPr="00022D19">
        <w:t xml:space="preserve">igliorare l’attrattività </w:t>
      </w:r>
      <w:r w:rsidR="00301B2F" w:rsidRPr="00022D19">
        <w:t xml:space="preserve">del </w:t>
      </w:r>
      <w:proofErr w:type="spellStart"/>
      <w:r w:rsidR="006826EC">
        <w:t>CdS</w:t>
      </w:r>
      <w:proofErr w:type="spellEnd"/>
      <w:r w:rsidR="00301B2F" w:rsidRPr="00022D19">
        <w:t xml:space="preserve"> per </w:t>
      </w:r>
      <w:r w:rsidRPr="00022D19">
        <w:t xml:space="preserve">gli studenti </w:t>
      </w:r>
      <w:r w:rsidR="00301B2F" w:rsidRPr="00022D19">
        <w:t xml:space="preserve">provenienti da altre Regioni </w:t>
      </w:r>
      <w:r w:rsidRPr="00022D19">
        <w:t>(indicator</w:t>
      </w:r>
      <w:r w:rsidR="00301B2F" w:rsidRPr="00022D19">
        <w:t>e</w:t>
      </w:r>
      <w:r w:rsidRPr="00022D19">
        <w:t xml:space="preserve"> iC</w:t>
      </w:r>
      <w:r w:rsidR="00301B2F" w:rsidRPr="00022D19">
        <w:t>03</w:t>
      </w:r>
      <w:r w:rsidRPr="00022D19">
        <w:t>).</w:t>
      </w:r>
      <w:r w:rsidR="00F31BC1" w:rsidRPr="00022D19">
        <w:t xml:space="preserve"> È possibile, fra l’altro, fare tesoro, in tale senso, dell’esperienza maturata nell’erogare la didattica a distanza per porsi come competitor con corsi di laurea analoghi in aree geografiche anche distanti.</w:t>
      </w:r>
      <w:r w:rsidR="002B5748">
        <w:t xml:space="preserve"> In questo senso è opportuno cogliere tale opportunità.</w:t>
      </w:r>
    </w:p>
    <w:p w14:paraId="7CA486B8" w14:textId="1F54B2A8" w:rsidR="00F425C4" w:rsidRPr="00022D19" w:rsidRDefault="00F425C4" w:rsidP="00022D19">
      <w:pPr>
        <w:autoSpaceDE w:val="0"/>
        <w:autoSpaceDN w:val="0"/>
        <w:adjustRightInd w:val="0"/>
        <w:jc w:val="both"/>
      </w:pPr>
      <w:r w:rsidRPr="00022D19">
        <w:t xml:space="preserve">Il </w:t>
      </w:r>
      <w:proofErr w:type="spellStart"/>
      <w:r w:rsidR="006826EC">
        <w:t>CdS</w:t>
      </w:r>
      <w:proofErr w:type="spellEnd"/>
      <w:r w:rsidR="00652815" w:rsidRPr="00022D19">
        <w:t xml:space="preserve"> </w:t>
      </w:r>
      <w:r w:rsidR="00793617" w:rsidRPr="00022D19">
        <w:t>può</w:t>
      </w:r>
      <w:r w:rsidRPr="00022D19">
        <w:t xml:space="preserve"> perseguire questo obiettivo considerando un orizzonte di lungo periodo. L’obiettivo è quello di stimolare il livello di interesse degli studenti </w:t>
      </w:r>
      <w:r w:rsidR="00F31BC1" w:rsidRPr="00022D19">
        <w:t xml:space="preserve">che escono dalle scuole secondarie di secondo grado nei confronti delle tematiche tipiche del </w:t>
      </w:r>
      <w:proofErr w:type="spellStart"/>
      <w:r w:rsidR="006826EC">
        <w:t>CdS</w:t>
      </w:r>
      <w:proofErr w:type="spellEnd"/>
      <w:r w:rsidR="00F31BC1" w:rsidRPr="00022D19">
        <w:t xml:space="preserve">, in generale, e del </w:t>
      </w:r>
      <w:proofErr w:type="spellStart"/>
      <w:r w:rsidR="006826EC">
        <w:t>CdS</w:t>
      </w:r>
      <w:proofErr w:type="spellEnd"/>
      <w:r w:rsidR="00F31BC1" w:rsidRPr="00022D19">
        <w:t xml:space="preserve"> del nostro Ateneo in particolare</w:t>
      </w:r>
      <w:r w:rsidRPr="00022D19">
        <w:t xml:space="preserve">, identificando e rimuovendo le cause che </w:t>
      </w:r>
      <w:r w:rsidR="00F31BC1" w:rsidRPr="00022D19">
        <w:t xml:space="preserve">si pongono come </w:t>
      </w:r>
      <w:r w:rsidRPr="00022D19">
        <w:t xml:space="preserve">ostacolo </w:t>
      </w:r>
      <w:r w:rsidR="00F31BC1" w:rsidRPr="00022D19">
        <w:t xml:space="preserve">alla scelta di immatricolazione presso il nostro </w:t>
      </w:r>
      <w:proofErr w:type="spellStart"/>
      <w:r w:rsidR="006826EC">
        <w:t>CdS</w:t>
      </w:r>
      <w:proofErr w:type="spellEnd"/>
      <w:r w:rsidRPr="00022D19">
        <w:t>.</w:t>
      </w:r>
    </w:p>
    <w:p w14:paraId="3BEFF9B6" w14:textId="3D374F08" w:rsidR="00793617" w:rsidRPr="00022D19" w:rsidRDefault="00793617" w:rsidP="00022D19">
      <w:pPr>
        <w:autoSpaceDE w:val="0"/>
        <w:autoSpaceDN w:val="0"/>
        <w:adjustRightInd w:val="0"/>
        <w:jc w:val="both"/>
      </w:pPr>
      <w:r w:rsidRPr="00022D19">
        <w:t xml:space="preserve">In particolare, è bene aumentare la consapevolezza dell’esistenza del </w:t>
      </w:r>
      <w:proofErr w:type="spellStart"/>
      <w:r w:rsidR="006826EC">
        <w:t>CdS</w:t>
      </w:r>
      <w:proofErr w:type="spellEnd"/>
      <w:r w:rsidRPr="00022D19">
        <w:t xml:space="preserve"> in ingegneria gestionale attraverso i canali di comunicazione istituzionali, ivi inclusi i social media. Inoltre, è auspicabile incrementare la </w:t>
      </w:r>
      <w:r w:rsidR="002E7A60">
        <w:t>promozione</w:t>
      </w:r>
      <w:r w:rsidR="002E7A60" w:rsidRPr="00022D19">
        <w:t xml:space="preserve"> </w:t>
      </w:r>
      <w:r w:rsidR="002E7A60">
        <w:t xml:space="preserve">del </w:t>
      </w:r>
      <w:proofErr w:type="spellStart"/>
      <w:r w:rsidR="006826EC">
        <w:t>CdS</w:t>
      </w:r>
      <w:proofErr w:type="spellEnd"/>
      <w:r w:rsidRPr="00022D19">
        <w:t xml:space="preserve"> presso le scuole superiori mettendo in evidenza l’estrema flessibilità di erogazione della didattica e la capacità di riorganizzare il </w:t>
      </w:r>
      <w:proofErr w:type="spellStart"/>
      <w:r w:rsidR="006826EC">
        <w:t>CdS</w:t>
      </w:r>
      <w:proofErr w:type="spellEnd"/>
      <w:r w:rsidRPr="00022D19">
        <w:t xml:space="preserve"> prontamente in casi di emergenza.</w:t>
      </w:r>
    </w:p>
    <w:p w14:paraId="395BB4D9" w14:textId="77777777" w:rsidR="007867BA" w:rsidRPr="00022D19" w:rsidRDefault="007867BA" w:rsidP="00022D19">
      <w:pPr>
        <w:jc w:val="both"/>
        <w:rPr>
          <w:highlight w:val="yellow"/>
        </w:rPr>
      </w:pPr>
    </w:p>
    <w:p w14:paraId="43B0BBA2" w14:textId="77777777" w:rsidR="003174F0" w:rsidRPr="00022D19" w:rsidRDefault="003174F0" w:rsidP="00022D1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22D19">
        <w:rPr>
          <w:b/>
          <w:sz w:val="24"/>
          <w:szCs w:val="24"/>
        </w:rPr>
        <w:t>Analisi e proposte in merito a materiali e ausili didattici, laboratori, aule, attrezzature, in relazione al raggiungimento degli obiettivi di apprendimento al livello desiderato</w:t>
      </w:r>
    </w:p>
    <w:p w14:paraId="26E1FCA3" w14:textId="77777777" w:rsidR="00A06DA8" w:rsidRPr="00022D19" w:rsidRDefault="00A06DA8" w:rsidP="00022D19">
      <w:pPr>
        <w:jc w:val="both"/>
      </w:pPr>
    </w:p>
    <w:p w14:paraId="62AA113D" w14:textId="0DDFC033" w:rsidR="00A06DA8" w:rsidRPr="00022D19" w:rsidRDefault="00A06DA8" w:rsidP="009C02CB">
      <w:pPr>
        <w:pStyle w:val="Paragrafoelenco"/>
        <w:numPr>
          <w:ilvl w:val="0"/>
          <w:numId w:val="14"/>
        </w:numPr>
        <w:jc w:val="both"/>
      </w:pPr>
      <w:r w:rsidRPr="00022D19">
        <w:t>Punti di forza</w:t>
      </w:r>
    </w:p>
    <w:p w14:paraId="46A5D35A" w14:textId="77777777" w:rsidR="00A06DA8" w:rsidRPr="001040F7" w:rsidRDefault="00A06DA8" w:rsidP="00022D19">
      <w:pPr>
        <w:jc w:val="both"/>
        <w:rPr>
          <w:highlight w:val="yellow"/>
        </w:rPr>
      </w:pPr>
    </w:p>
    <w:p w14:paraId="6ABD0F62" w14:textId="073252B3" w:rsidR="008734F7" w:rsidRPr="00022D19" w:rsidRDefault="008734F7" w:rsidP="00022D19">
      <w:pPr>
        <w:pStyle w:val="Paragrafoelenco"/>
        <w:ind w:left="0"/>
        <w:jc w:val="both"/>
        <w:rPr>
          <w:sz w:val="24"/>
          <w:szCs w:val="24"/>
        </w:rPr>
      </w:pPr>
      <w:r w:rsidRPr="00022D19">
        <w:rPr>
          <w:sz w:val="24"/>
          <w:szCs w:val="24"/>
        </w:rPr>
        <w:t xml:space="preserve">Nel complesso, </w:t>
      </w:r>
      <w:r w:rsidR="00785679">
        <w:rPr>
          <w:sz w:val="24"/>
          <w:szCs w:val="24"/>
        </w:rPr>
        <w:t>con riferimento agli ultimi dati disponibili</w:t>
      </w:r>
      <w:r w:rsidR="00B4279A">
        <w:rPr>
          <w:sz w:val="24"/>
          <w:szCs w:val="24"/>
        </w:rPr>
        <w:t xml:space="preserve"> (</w:t>
      </w:r>
      <w:r w:rsidR="00D80DB7">
        <w:rPr>
          <w:sz w:val="24"/>
          <w:szCs w:val="24"/>
        </w:rPr>
        <w:t xml:space="preserve">A.A. </w:t>
      </w:r>
      <w:r w:rsidR="007A3F8F">
        <w:rPr>
          <w:sz w:val="24"/>
          <w:szCs w:val="24"/>
        </w:rPr>
        <w:t>202</w:t>
      </w:r>
      <w:r w:rsidR="002B5748">
        <w:rPr>
          <w:sz w:val="24"/>
          <w:szCs w:val="24"/>
        </w:rPr>
        <w:t>1</w:t>
      </w:r>
      <w:r w:rsidR="00D80DB7">
        <w:rPr>
          <w:sz w:val="24"/>
          <w:szCs w:val="24"/>
        </w:rPr>
        <w:t>-202</w:t>
      </w:r>
      <w:r w:rsidR="002B5748">
        <w:rPr>
          <w:sz w:val="24"/>
          <w:szCs w:val="24"/>
        </w:rPr>
        <w:t>2</w:t>
      </w:r>
      <w:r w:rsidR="00B4279A">
        <w:rPr>
          <w:sz w:val="24"/>
          <w:szCs w:val="24"/>
        </w:rPr>
        <w:t xml:space="preserve">) </w:t>
      </w:r>
      <w:r w:rsidR="00BE6529">
        <w:rPr>
          <w:sz w:val="24"/>
          <w:szCs w:val="24"/>
        </w:rPr>
        <w:t>2</w:t>
      </w:r>
      <w:r w:rsidR="002B5748">
        <w:rPr>
          <w:sz w:val="24"/>
          <w:szCs w:val="24"/>
        </w:rPr>
        <w:t>3</w:t>
      </w:r>
      <w:r w:rsidR="00BE6529" w:rsidRPr="00022D19">
        <w:rPr>
          <w:sz w:val="24"/>
          <w:szCs w:val="24"/>
        </w:rPr>
        <w:t xml:space="preserve"> </w:t>
      </w:r>
      <w:r w:rsidRPr="00022D19">
        <w:rPr>
          <w:sz w:val="24"/>
          <w:szCs w:val="24"/>
        </w:rPr>
        <w:t xml:space="preserve">domande del questionario di valutazione ottengono un punteggio oltre il 7,5/10, </w:t>
      </w:r>
      <w:r w:rsidR="002B5748">
        <w:rPr>
          <w:sz w:val="24"/>
          <w:szCs w:val="24"/>
        </w:rPr>
        <w:t>una</w:t>
      </w:r>
      <w:r w:rsidR="002B5748" w:rsidRPr="00022D19">
        <w:rPr>
          <w:sz w:val="24"/>
          <w:szCs w:val="24"/>
        </w:rPr>
        <w:t xml:space="preserve"> </w:t>
      </w:r>
      <w:r w:rsidR="002B5748">
        <w:rPr>
          <w:sz w:val="24"/>
          <w:szCs w:val="24"/>
        </w:rPr>
        <w:t>ottiene</w:t>
      </w:r>
      <w:r w:rsidR="002B5748" w:rsidRPr="00022D19">
        <w:rPr>
          <w:sz w:val="24"/>
          <w:szCs w:val="24"/>
        </w:rPr>
        <w:t xml:space="preserve"> </w:t>
      </w:r>
      <w:r w:rsidRPr="00022D19">
        <w:rPr>
          <w:sz w:val="24"/>
          <w:szCs w:val="24"/>
        </w:rPr>
        <w:t xml:space="preserve">un punteggio compreso fra il 7/10 e il 7,5/10 e solo due domande ottengono un punteggio sotto il 7/10. Le uniche domande che fanno eccezione riguardano l’aver usufruito degli orari di ricevimento degli studenti e la difficoltà di preparazione quando non si frequentano le lezioni. </w:t>
      </w:r>
      <w:r w:rsidR="00F071E7">
        <w:rPr>
          <w:sz w:val="24"/>
          <w:szCs w:val="24"/>
        </w:rPr>
        <w:t xml:space="preserve">Per queste in particolare si è analizzato nel dettaglio il significato da attribuire alle valutazioni ricevute. </w:t>
      </w:r>
      <w:r w:rsidRPr="00022D19">
        <w:rPr>
          <w:sz w:val="24"/>
          <w:szCs w:val="24"/>
        </w:rPr>
        <w:t>Pertanto</w:t>
      </w:r>
      <w:r w:rsidR="00B4279A">
        <w:rPr>
          <w:sz w:val="24"/>
          <w:szCs w:val="24"/>
        </w:rPr>
        <w:t>,</w:t>
      </w:r>
      <w:r w:rsidRPr="00022D19">
        <w:rPr>
          <w:sz w:val="24"/>
          <w:szCs w:val="24"/>
        </w:rPr>
        <w:t xml:space="preserve"> non si rilevano criticità specifiche tali da obbligare a scelte e soluzioni differenti da quelle attualmente in essere.</w:t>
      </w:r>
    </w:p>
    <w:p w14:paraId="7D6A1BE5" w14:textId="77777777" w:rsidR="008734F7" w:rsidRPr="00022D19" w:rsidRDefault="008734F7" w:rsidP="00022D19">
      <w:pPr>
        <w:jc w:val="both"/>
        <w:rPr>
          <w:highlight w:val="yellow"/>
        </w:rPr>
      </w:pPr>
    </w:p>
    <w:p w14:paraId="3130ED23" w14:textId="6AE07D52" w:rsidR="00A06DA8" w:rsidRPr="00022D19" w:rsidRDefault="0096280B" w:rsidP="00022D19">
      <w:pPr>
        <w:jc w:val="both"/>
      </w:pPr>
      <w:r w:rsidRPr="00022D19">
        <w:t>b) Obiettivi e indicazioni operative di miglioramento</w:t>
      </w:r>
    </w:p>
    <w:p w14:paraId="3D0637A0" w14:textId="77777777" w:rsidR="00A06DA8" w:rsidRDefault="00A06DA8" w:rsidP="00022D19">
      <w:pPr>
        <w:jc w:val="both"/>
        <w:rPr>
          <w:highlight w:val="yellow"/>
        </w:rPr>
      </w:pPr>
    </w:p>
    <w:p w14:paraId="302E4EDA" w14:textId="5D026033" w:rsidR="004D421C" w:rsidRDefault="00F071E7" w:rsidP="00022D19">
      <w:pPr>
        <w:jc w:val="both"/>
      </w:pPr>
      <w:r w:rsidRPr="00705116">
        <w:t>Si e</w:t>
      </w:r>
      <w:r w:rsidR="00F72602" w:rsidRPr="00705116">
        <w:t xml:space="preserve">videnzia una generale diminuzione di soddisfazione degli studenti laureati che hanno frequentato il </w:t>
      </w:r>
      <w:proofErr w:type="spellStart"/>
      <w:r w:rsidR="006826EC" w:rsidRPr="00705116">
        <w:t>CdS</w:t>
      </w:r>
      <w:proofErr w:type="spellEnd"/>
      <w:r w:rsidR="00F72602" w:rsidRPr="00705116">
        <w:t xml:space="preserve"> in </w:t>
      </w:r>
      <w:r w:rsidR="00235BFA" w:rsidRPr="00705116">
        <w:t xml:space="preserve">merito ai rapporti con i docenti, con gli altri studenti, </w:t>
      </w:r>
      <w:r w:rsidR="00A417E1" w:rsidRPr="00705116">
        <w:t>all</w:t>
      </w:r>
      <w:r w:rsidR="00AE440A" w:rsidRPr="00705116">
        <w:t>’adeguatezza delle</w:t>
      </w:r>
      <w:r w:rsidR="00A417E1" w:rsidRPr="00705116">
        <w:t xml:space="preserve"> aule</w:t>
      </w:r>
      <w:r w:rsidR="00AE440A" w:rsidRPr="00705116">
        <w:t>, ai servizi di biblioteca</w:t>
      </w:r>
      <w:r w:rsidR="008B1B71" w:rsidRPr="00705116">
        <w:t xml:space="preserve">. In aggiunta al generale calo di soddisfazione è bene evidenziare che su queste voci il </w:t>
      </w:r>
      <w:proofErr w:type="spellStart"/>
      <w:r w:rsidR="006826EC" w:rsidRPr="00705116">
        <w:t>CdS</w:t>
      </w:r>
      <w:proofErr w:type="spellEnd"/>
      <w:r w:rsidR="008B1B71" w:rsidRPr="00705116">
        <w:t xml:space="preserve"> mostra performance generalmente inferiori sia alla Macroarea che all’Ateneo. Non si tratta ancora di </w:t>
      </w:r>
      <w:r w:rsidR="00251D2A" w:rsidRPr="00705116">
        <w:t>giudizi critici, ma si suggerisce di iniziare a</w:t>
      </w:r>
      <w:r w:rsidR="004A4DA0" w:rsidRPr="00705116">
        <w:t xml:space="preserve">d indagare con </w:t>
      </w:r>
      <w:r w:rsidR="00251D2A" w:rsidRPr="00705116">
        <w:t xml:space="preserve">attenzione le cause </w:t>
      </w:r>
      <w:r w:rsidR="004A4DA0" w:rsidRPr="00705116">
        <w:t>di diminuzione delle percentuali degli studenti soddisfatti</w:t>
      </w:r>
      <w:r w:rsidR="00F91174" w:rsidRPr="00705116">
        <w:t>.</w:t>
      </w:r>
      <w:r w:rsidR="00497930" w:rsidRPr="003639E6">
        <w:t xml:space="preserve"> </w:t>
      </w:r>
      <w:r w:rsidR="00712565">
        <w:t xml:space="preserve">Una possibile spiegazione </w:t>
      </w:r>
      <w:r w:rsidR="003E5C5F">
        <w:t>potrebbe risiedere nel fatto</w:t>
      </w:r>
      <w:r w:rsidR="00497930" w:rsidRPr="003639E6">
        <w:t xml:space="preserve"> che i dati provenienti da Almalaurea si riferiscono </w:t>
      </w:r>
      <w:r w:rsidR="00DF1C07" w:rsidRPr="003639E6">
        <w:t>al 2022</w:t>
      </w:r>
      <w:r w:rsidR="00497930" w:rsidRPr="003639E6">
        <w:t xml:space="preserve"> e</w:t>
      </w:r>
      <w:r w:rsidR="00DF1C07" w:rsidRPr="003639E6">
        <w:t>, pertanto, a studenti</w:t>
      </w:r>
      <w:r w:rsidR="00497930" w:rsidRPr="003639E6">
        <w:t xml:space="preserve"> che hanno</w:t>
      </w:r>
      <w:r w:rsidR="00DF1C07" w:rsidRPr="003639E6">
        <w:t xml:space="preserve"> trascorso gli anni del </w:t>
      </w:r>
      <w:proofErr w:type="spellStart"/>
      <w:r w:rsidR="00DF1C07" w:rsidRPr="003639E6">
        <w:t>CdS</w:t>
      </w:r>
      <w:proofErr w:type="spellEnd"/>
      <w:r w:rsidR="00DF1C07" w:rsidRPr="003639E6">
        <w:t xml:space="preserve"> triennale risentendo della pandemia da Covid-19</w:t>
      </w:r>
      <w:r w:rsidR="006E4AD2" w:rsidRPr="003639E6">
        <w:t xml:space="preserve"> e attraversando sia il periodo di </w:t>
      </w:r>
      <w:r w:rsidR="00DF1C07" w:rsidRPr="003639E6">
        <w:t>lockdown</w:t>
      </w:r>
      <w:r w:rsidR="00ED1756" w:rsidRPr="003639E6">
        <w:t xml:space="preserve"> </w:t>
      </w:r>
      <w:r w:rsidR="006E4AD2" w:rsidRPr="003639E6">
        <w:t>che di</w:t>
      </w:r>
      <w:r w:rsidR="00ED1756" w:rsidRPr="003639E6">
        <w:t xml:space="preserve"> contingentamento dei posti in aula</w:t>
      </w:r>
      <w:r w:rsidR="006E4AD2" w:rsidRPr="003639E6">
        <w:t>: ciò potrebbe aver avuto un impatto negativo sulla percezione dell’esperienza universitaria,</w:t>
      </w:r>
      <w:r w:rsidR="00BC74D8" w:rsidRPr="003639E6">
        <w:t xml:space="preserve"> che si è riverberat</w:t>
      </w:r>
      <w:r w:rsidR="008F5A5D">
        <w:t>o</w:t>
      </w:r>
      <w:r w:rsidR="00BC74D8" w:rsidRPr="003639E6">
        <w:t xml:space="preserve"> anche sul rapporto con i docenti e con gli altri studenti. Questi problemi non si riscontrano nei dati di Almalaurea riferiti al </w:t>
      </w:r>
      <w:proofErr w:type="spellStart"/>
      <w:r w:rsidR="00BC74D8" w:rsidRPr="003639E6">
        <w:t>CdLM</w:t>
      </w:r>
      <w:proofErr w:type="spellEnd"/>
      <w:r w:rsidR="00BC74D8" w:rsidRPr="003639E6">
        <w:t xml:space="preserve">, ma gli studenti del biennio magistrale potrebbero essere stati aiutati dall’aver </w:t>
      </w:r>
      <w:r w:rsidR="003639E6" w:rsidRPr="003639E6">
        <w:t>stretto relazioni sia con gli altri studenti che con i docenti già durante il periodo della laurea e prima della pandemia da Covid-19.</w:t>
      </w:r>
    </w:p>
    <w:p w14:paraId="67BE22A0" w14:textId="77777777" w:rsidR="00705116" w:rsidRPr="001040F7" w:rsidRDefault="00705116" w:rsidP="00022D19">
      <w:pPr>
        <w:jc w:val="both"/>
        <w:rPr>
          <w:b/>
        </w:rPr>
      </w:pPr>
    </w:p>
    <w:p w14:paraId="7B93CB99" w14:textId="77777777" w:rsidR="004D421C" w:rsidRPr="00022D19" w:rsidRDefault="004D421C" w:rsidP="00022D1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22D19">
        <w:rPr>
          <w:b/>
          <w:sz w:val="24"/>
          <w:szCs w:val="24"/>
        </w:rPr>
        <w:t>Analisi e proposte sulla validità dei metodi di accertamento delle conoscenze e abilità acquisite dagli studenti in relazione ai risultati di apprendimento attesi</w:t>
      </w:r>
    </w:p>
    <w:p w14:paraId="6FF69494" w14:textId="77777777" w:rsidR="003174F0" w:rsidRPr="001040F7" w:rsidRDefault="003174F0" w:rsidP="00022D19">
      <w:pPr>
        <w:tabs>
          <w:tab w:val="left" w:pos="940"/>
        </w:tabs>
        <w:jc w:val="both"/>
        <w:rPr>
          <w:b/>
        </w:rPr>
      </w:pPr>
    </w:p>
    <w:p w14:paraId="402CB0E8" w14:textId="58C96B58" w:rsidR="00680761" w:rsidRPr="00022D19" w:rsidRDefault="000546C0" w:rsidP="00022D19">
      <w:pPr>
        <w:tabs>
          <w:tab w:val="left" w:pos="940"/>
        </w:tabs>
        <w:jc w:val="both"/>
      </w:pPr>
      <w:r w:rsidRPr="001040F7">
        <w:t xml:space="preserve">Dall’analisi </w:t>
      </w:r>
      <w:r w:rsidR="00723961">
        <w:t>degli ultimi dati disponibili (</w:t>
      </w:r>
      <w:r w:rsidR="00681BE4">
        <w:t xml:space="preserve">A.A. </w:t>
      </w:r>
      <w:r w:rsidR="00B86648">
        <w:t>202</w:t>
      </w:r>
      <w:r w:rsidR="002B5748">
        <w:t>1</w:t>
      </w:r>
      <w:r w:rsidR="00681BE4">
        <w:t>-202</w:t>
      </w:r>
      <w:r w:rsidR="002B5748">
        <w:t>2</w:t>
      </w:r>
      <w:r w:rsidR="00723961">
        <w:t>)</w:t>
      </w:r>
      <w:r w:rsidR="00AE0CAB">
        <w:t xml:space="preserve"> </w:t>
      </w:r>
      <w:r w:rsidRPr="001040F7">
        <w:t>dei questionari di valutazione degli studenti che ha</w:t>
      </w:r>
      <w:r w:rsidRPr="00022D19">
        <w:t xml:space="preserve">nno frequentato almeno il 50% delle lezioni emerge un giudizio pari a </w:t>
      </w:r>
      <w:r w:rsidR="002B5748">
        <w:t>7,45</w:t>
      </w:r>
      <w:r w:rsidRPr="00022D19">
        <w:t xml:space="preserve">/10 all’organizzazione degli esami nel periodo di riferimento, in </w:t>
      </w:r>
      <w:r w:rsidR="00B569AD">
        <w:t>aumento</w:t>
      </w:r>
      <w:r w:rsidR="002B5748" w:rsidRPr="00022D19">
        <w:t xml:space="preserve"> </w:t>
      </w:r>
      <w:r w:rsidRPr="00022D19">
        <w:t xml:space="preserve">rispetto a quello dell’anno precedente. </w:t>
      </w:r>
      <w:r w:rsidR="00B61508">
        <w:t>Anche l</w:t>
      </w:r>
      <w:r w:rsidR="00B61508" w:rsidRPr="00022D19">
        <w:t xml:space="preserve">a </w:t>
      </w:r>
      <w:r w:rsidR="00680761" w:rsidRPr="00022D19">
        <w:t xml:space="preserve">definizione delle modalità di esame ottiene un punteggio in </w:t>
      </w:r>
      <w:r w:rsidR="004A62D5">
        <w:t>crescita</w:t>
      </w:r>
      <w:r w:rsidR="00680761" w:rsidRPr="00022D19">
        <w:t xml:space="preserve"> rispetto all’anno precedente</w:t>
      </w:r>
      <w:r w:rsidR="004A62D5">
        <w:t xml:space="preserve"> (</w:t>
      </w:r>
      <w:r w:rsidR="004C36FD">
        <w:t>+5,58</w:t>
      </w:r>
      <w:r w:rsidR="00F42F64">
        <w:t>%)</w:t>
      </w:r>
      <w:r w:rsidR="00680761" w:rsidRPr="00022D19">
        <w:t>.</w:t>
      </w:r>
    </w:p>
    <w:p w14:paraId="0D0A006F" w14:textId="571F4AFD" w:rsidR="000546C0" w:rsidRPr="00022D19" w:rsidRDefault="008F28FA" w:rsidP="00022D19">
      <w:pPr>
        <w:tabs>
          <w:tab w:val="left" w:pos="940"/>
        </w:tabs>
        <w:jc w:val="both"/>
      </w:pPr>
      <w:r w:rsidRPr="00022D19">
        <w:t>G</w:t>
      </w:r>
      <w:r w:rsidR="000546C0" w:rsidRPr="00022D19">
        <w:t xml:space="preserve">li studenti </w:t>
      </w:r>
      <w:r w:rsidRPr="00022D19">
        <w:t>ritengono</w:t>
      </w:r>
      <w:r w:rsidR="000546C0" w:rsidRPr="00022D19">
        <w:t xml:space="preserve"> che la frequenza alle lezioni sia utile per il superamento dell’esame (punteggio di </w:t>
      </w:r>
      <w:r w:rsidR="00B22D91">
        <w:t>8,82</w:t>
      </w:r>
      <w:r w:rsidR="000546C0" w:rsidRPr="00022D19">
        <w:t xml:space="preserve">/10, in </w:t>
      </w:r>
      <w:r w:rsidR="00180016">
        <w:t xml:space="preserve">lieve </w:t>
      </w:r>
      <w:r w:rsidR="00B22D91">
        <w:t>diminuzione</w:t>
      </w:r>
      <w:r w:rsidR="00B22D91" w:rsidRPr="00022D19">
        <w:t xml:space="preserve"> </w:t>
      </w:r>
      <w:r w:rsidRPr="00022D19">
        <w:t>rispetto a</w:t>
      </w:r>
      <w:r w:rsidR="000546C0" w:rsidRPr="00022D19">
        <w:t xml:space="preserve">ll’A.A. </w:t>
      </w:r>
      <w:r w:rsidR="00965873" w:rsidRPr="00022D19">
        <w:t>20</w:t>
      </w:r>
      <w:r w:rsidR="00B22D91">
        <w:t>20</w:t>
      </w:r>
      <w:r w:rsidR="000546C0" w:rsidRPr="00022D19">
        <w:t>-</w:t>
      </w:r>
      <w:r w:rsidR="00965873" w:rsidRPr="00022D19">
        <w:t>20</w:t>
      </w:r>
      <w:r w:rsidR="00965873">
        <w:t>2</w:t>
      </w:r>
      <w:r w:rsidR="00B22D91">
        <w:t>1</w:t>
      </w:r>
      <w:r w:rsidR="000546C0" w:rsidRPr="00022D19">
        <w:t>).</w:t>
      </w:r>
    </w:p>
    <w:p w14:paraId="53BF4A43" w14:textId="35B8C4EF" w:rsidR="000546C0" w:rsidRPr="00022D19" w:rsidRDefault="000546C0" w:rsidP="00022D19">
      <w:pPr>
        <w:tabs>
          <w:tab w:val="left" w:pos="940"/>
        </w:tabs>
        <w:jc w:val="both"/>
      </w:pPr>
      <w:r w:rsidRPr="00022D19">
        <w:t xml:space="preserve">Benché fra gli studenti che dichiarano di aver frequentato almeno il 50% delle lezioni </w:t>
      </w:r>
      <w:r w:rsidR="00C842F9">
        <w:t xml:space="preserve">solo il 9% esprime un punteggio non inferiore a 6/10 </w:t>
      </w:r>
      <w:r w:rsidR="003C5B5F">
        <w:t>per la domanda D17 – “</w:t>
      </w:r>
      <w:r w:rsidR="003C5B5F" w:rsidRPr="003C5B5F">
        <w:t>Nella preparazione all’esame ha usufruito del ricevimento del docente per chiarimenti?</w:t>
      </w:r>
      <w:r w:rsidR="003C5B5F">
        <w:t xml:space="preserve">” </w:t>
      </w:r>
      <w:r w:rsidR="00D83A25" w:rsidRPr="00022D19">
        <w:t xml:space="preserve">la gran parte </w:t>
      </w:r>
      <w:r w:rsidRPr="00022D19">
        <w:t>ritiene che i docenti siano</w:t>
      </w:r>
      <w:r w:rsidR="002D3F4B">
        <w:t xml:space="preserve"> disponibili a fornire chiarimenti e spiegazioni (</w:t>
      </w:r>
      <w:r w:rsidR="00F91A15">
        <w:t xml:space="preserve">il 64,2% dà un punteggio non inferiore a 6/10 </w:t>
      </w:r>
      <w:r w:rsidR="00465FF0">
        <w:t xml:space="preserve">a questa domanda </w:t>
      </w:r>
      <w:r w:rsidR="00F91A15">
        <w:t xml:space="preserve">e il voto medio per </w:t>
      </w:r>
      <w:r w:rsidR="00465FF0">
        <w:t>il quesito è</w:t>
      </w:r>
      <w:r w:rsidR="00F91A15">
        <w:t xml:space="preserve"> </w:t>
      </w:r>
      <w:r w:rsidR="0092131A">
        <w:t>8,61/10, in aumento rispetto allo scorso A.A.)</w:t>
      </w:r>
      <w:r w:rsidR="00912329">
        <w:t xml:space="preserve"> </w:t>
      </w:r>
      <w:r w:rsidR="00FE7ABA">
        <w:t xml:space="preserve">e siano comunque </w:t>
      </w:r>
      <w:r w:rsidRPr="00022D19">
        <w:t>reperibili durante l’orario di ricevimento o tramite e-mail (</w:t>
      </w:r>
      <w:r w:rsidR="00FE7ABA">
        <w:t xml:space="preserve">il 10,4% dà un </w:t>
      </w:r>
      <w:r w:rsidRPr="00022D19">
        <w:t xml:space="preserve">punteggio </w:t>
      </w:r>
      <w:r w:rsidR="00FE7ABA">
        <w:t xml:space="preserve">non inferiore a 6/10 a questa domanda e il voto medio per il quesito </w:t>
      </w:r>
      <w:r w:rsidR="00465FF0">
        <w:t xml:space="preserve">è </w:t>
      </w:r>
      <w:r w:rsidRPr="00022D19">
        <w:t xml:space="preserve">di </w:t>
      </w:r>
      <w:r w:rsidR="00B22D91">
        <w:t>7,63</w:t>
      </w:r>
      <w:r w:rsidRPr="00022D19">
        <w:t xml:space="preserve">/10, </w:t>
      </w:r>
      <w:r w:rsidR="00B22D91">
        <w:t>in diminuzione</w:t>
      </w:r>
      <w:r w:rsidR="00B22D91" w:rsidRPr="00022D19">
        <w:t xml:space="preserve"> </w:t>
      </w:r>
      <w:r w:rsidR="00D83A25" w:rsidRPr="00022D19">
        <w:t>rispetto a</w:t>
      </w:r>
      <w:r w:rsidRPr="00022D19">
        <w:t xml:space="preserve"> quello dell’A.A. precedente).</w:t>
      </w:r>
    </w:p>
    <w:p w14:paraId="1117BA4E" w14:textId="7C080FAC" w:rsidR="00FD71AC" w:rsidRDefault="00A04E2B" w:rsidP="00FD71AC">
      <w:pPr>
        <w:jc w:val="both"/>
      </w:pPr>
      <w:r>
        <w:lastRenderedPageBreak/>
        <w:t xml:space="preserve">Per quanto riguarda la difficoltà nella preparazione dell’esame in caso di mancata frequenza </w:t>
      </w:r>
      <w:r w:rsidR="00C4332A">
        <w:t>delle lezioni, un’analisi del</w:t>
      </w:r>
      <w:r w:rsidR="00FD71AC">
        <w:t xml:space="preserve">le risposte degli studenti che hanno dichiarato una frequenza inferiore al 50% </w:t>
      </w:r>
      <w:r w:rsidR="00C4332A">
        <w:t xml:space="preserve">evidenzia un punteggio attribuito a </w:t>
      </w:r>
      <w:r w:rsidR="00FD71AC">
        <w:t xml:space="preserve">questa domanda pari a 5,44/10, in aumento rispetto allo scorso A.A. (+10,03%), ma comunque inferiore al corrispondente punteggio della Macroarea (-8,29%). In particolare, il 57% degli studenti non frequentanti dichiara un punteggio inferiore a 6/10 per questa domanda, testimoniando una difficoltà limitata nella preparazione agli esami anche in caso di non frequenza dei corsi; il restante 43% dichiara un punteggio </w:t>
      </w:r>
      <w:r w:rsidR="003D1114">
        <w:t>non inferiore</w:t>
      </w:r>
      <w:r w:rsidR="00FD71AC">
        <w:t xml:space="preserve"> a 6/10. Gli studenti che rilevano una difficoltà nel prepararsi agli esami in caso di non frequenza ai corsi sono, quindi, meno della metà.</w:t>
      </w:r>
    </w:p>
    <w:p w14:paraId="6C90BF0F" w14:textId="2F1AC655" w:rsidR="000546C0" w:rsidRPr="00022D19" w:rsidRDefault="000546C0" w:rsidP="00022D19">
      <w:pPr>
        <w:tabs>
          <w:tab w:val="left" w:pos="940"/>
        </w:tabs>
        <w:jc w:val="both"/>
      </w:pPr>
    </w:p>
    <w:p w14:paraId="4C00D174" w14:textId="77777777" w:rsidR="000546C0" w:rsidRPr="00022D19" w:rsidRDefault="000546C0" w:rsidP="00022D19">
      <w:pPr>
        <w:tabs>
          <w:tab w:val="left" w:pos="940"/>
        </w:tabs>
        <w:jc w:val="both"/>
      </w:pPr>
      <w:r w:rsidRPr="00022D19">
        <w:t>Nel complesso non si rilevano criticità specifiche tali da obbligare a scelte e soluzioni differenti da quelle attualmente in essere.</w:t>
      </w:r>
    </w:p>
    <w:p w14:paraId="10320116" w14:textId="77777777" w:rsidR="003174F0" w:rsidRPr="001040F7" w:rsidRDefault="003174F0" w:rsidP="00022D19">
      <w:pPr>
        <w:jc w:val="both"/>
      </w:pPr>
    </w:p>
    <w:p w14:paraId="696051E7" w14:textId="77777777" w:rsidR="00CE00E0" w:rsidRPr="00022D19" w:rsidRDefault="00CE00E0" w:rsidP="00022D19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22D19">
        <w:rPr>
          <w:b/>
          <w:sz w:val="24"/>
          <w:szCs w:val="24"/>
        </w:rPr>
        <w:t>Analisi e proposte sulla completezza e sull’efficacia del Monitoraggio annuale e del Riesame ciclico</w:t>
      </w:r>
    </w:p>
    <w:p w14:paraId="704E7583" w14:textId="77777777" w:rsidR="00F60D5E" w:rsidRPr="001040F7" w:rsidRDefault="00F60D5E" w:rsidP="00022D19">
      <w:pPr>
        <w:jc w:val="both"/>
        <w:rPr>
          <w:b/>
        </w:rPr>
      </w:pPr>
    </w:p>
    <w:p w14:paraId="1AA0E55E" w14:textId="7CA72070" w:rsidR="00F60D5E" w:rsidRPr="00022D19" w:rsidRDefault="00F60D5E" w:rsidP="00022D19">
      <w:pPr>
        <w:jc w:val="both"/>
      </w:pPr>
      <w:r w:rsidRPr="00022D19">
        <w:t>a. Punti di forza</w:t>
      </w:r>
    </w:p>
    <w:p w14:paraId="298C0BA2" w14:textId="77777777" w:rsidR="00F60D5E" w:rsidRPr="001040F7" w:rsidRDefault="00F60D5E" w:rsidP="00022D19">
      <w:pPr>
        <w:jc w:val="both"/>
        <w:rPr>
          <w:b/>
        </w:rPr>
      </w:pPr>
    </w:p>
    <w:p w14:paraId="0B36E903" w14:textId="5C7A8F47" w:rsidR="008105EC" w:rsidRDefault="00517C57" w:rsidP="00022D19">
      <w:pPr>
        <w:tabs>
          <w:tab w:val="left" w:pos="940"/>
        </w:tabs>
        <w:jc w:val="both"/>
      </w:pPr>
      <w:r w:rsidRPr="00022D19">
        <w:t xml:space="preserve">Per l’anno </w:t>
      </w:r>
      <w:r w:rsidR="00D65928">
        <w:t>202</w:t>
      </w:r>
      <w:r w:rsidR="00C0411F">
        <w:t>1</w:t>
      </w:r>
      <w:r w:rsidR="00F86B9A">
        <w:t>-202</w:t>
      </w:r>
      <w:r w:rsidR="00C0411F">
        <w:t>2</w:t>
      </w:r>
      <w:r w:rsidR="00D65928" w:rsidRPr="00022D19">
        <w:t xml:space="preserve"> </w:t>
      </w:r>
      <w:r w:rsidRPr="00022D19">
        <w:t xml:space="preserve">dal rapporto del Gruppo di Riesame </w:t>
      </w:r>
      <w:r w:rsidR="008105EC">
        <w:t xml:space="preserve">emerge che la percentuale di CFU conseguiti al I anno sul totale dei CFU da conseguire (indicatore iC13) </w:t>
      </w:r>
      <w:r w:rsidR="00E656D6">
        <w:t>è limitata (29</w:t>
      </w:r>
      <w:r w:rsidR="000B3FCA">
        <w:t>,0</w:t>
      </w:r>
      <w:r w:rsidR="00E656D6">
        <w:t>%) ed in diminuzione rispetto agli anni precedenti</w:t>
      </w:r>
      <w:r w:rsidR="000B3FCA">
        <w:t xml:space="preserve">, ma rimane comunque superiore al valore assunto dall’indicatore </w:t>
      </w:r>
      <w:r w:rsidR="00424517">
        <w:t xml:space="preserve">per i </w:t>
      </w:r>
      <w:proofErr w:type="spellStart"/>
      <w:r w:rsidR="006826EC">
        <w:t>CdS</w:t>
      </w:r>
      <w:proofErr w:type="spellEnd"/>
      <w:r w:rsidR="00424517">
        <w:t xml:space="preserve"> della medesima classe dello stesso Ateneo (25,2%)</w:t>
      </w:r>
      <w:r w:rsidR="00CB257A">
        <w:t xml:space="preserve">, anche se inferiore rispetto a quella degli altri </w:t>
      </w:r>
      <w:proofErr w:type="spellStart"/>
      <w:r w:rsidR="006826EC">
        <w:t>CdS</w:t>
      </w:r>
      <w:proofErr w:type="spellEnd"/>
      <w:r w:rsidR="00CB257A">
        <w:t xml:space="preserve"> della stessa classe di altri Atenei non telematici </w:t>
      </w:r>
      <w:r w:rsidR="008723EC">
        <w:t xml:space="preserve">sia </w:t>
      </w:r>
      <w:r w:rsidR="00CB257A">
        <w:t>della stessa area geografica (38,8%) che a livello nazionale (49,6%)</w:t>
      </w:r>
      <w:r w:rsidR="008723EC">
        <w:t>.</w:t>
      </w:r>
    </w:p>
    <w:p w14:paraId="0FA0A08D" w14:textId="621D9905" w:rsidR="00D93B7C" w:rsidRDefault="0085760E" w:rsidP="00022D19">
      <w:pPr>
        <w:tabs>
          <w:tab w:val="left" w:pos="940"/>
        </w:tabs>
        <w:jc w:val="both"/>
      </w:pPr>
      <w:r>
        <w:t xml:space="preserve">Aumenta la percentuale di studenti che proseguono al II anno nello stesso </w:t>
      </w:r>
      <w:proofErr w:type="spellStart"/>
      <w:r w:rsidR="006826EC">
        <w:t>CdS</w:t>
      </w:r>
      <w:proofErr w:type="spellEnd"/>
      <w:r w:rsidR="00C97A43">
        <w:t xml:space="preserve"> (indicatore iC14, in media intorno al 57%)</w:t>
      </w:r>
      <w:r w:rsidR="00D93B7C">
        <w:t xml:space="preserve">, in linea con gli altri </w:t>
      </w:r>
      <w:proofErr w:type="spellStart"/>
      <w:r w:rsidR="006826EC">
        <w:t>CdS</w:t>
      </w:r>
      <w:proofErr w:type="spellEnd"/>
      <w:r w:rsidR="00D93B7C">
        <w:t xml:space="preserve"> dello stesso Ateneo, ma più bassa </w:t>
      </w:r>
      <w:r w:rsidR="00D60729">
        <w:t>sia a livello geografico (67%) che a livello nazionale (71%).</w:t>
      </w:r>
    </w:p>
    <w:p w14:paraId="1EFB9DEC" w14:textId="2DA74D4A" w:rsidR="006E1A9E" w:rsidRDefault="006E1A9E" w:rsidP="00022D19">
      <w:pPr>
        <w:tabs>
          <w:tab w:val="left" w:pos="940"/>
        </w:tabs>
        <w:jc w:val="both"/>
      </w:pPr>
      <w:r>
        <w:t xml:space="preserve">Di coloro che proseguono al II anno nello stesso </w:t>
      </w:r>
      <w:proofErr w:type="spellStart"/>
      <w:r w:rsidR="006826EC">
        <w:t>CdS</w:t>
      </w:r>
      <w:proofErr w:type="spellEnd"/>
      <w:r>
        <w:t xml:space="preserve"> il </w:t>
      </w:r>
      <w:r w:rsidR="00824EC4">
        <w:t>40,9% lo fa avendo acquisito almeno 20CFU</w:t>
      </w:r>
      <w:r w:rsidR="0070354D">
        <w:t xml:space="preserve"> (indicatore iC15)</w:t>
      </w:r>
      <w:r w:rsidR="00824EC4">
        <w:t xml:space="preserve">, mentre </w:t>
      </w:r>
      <w:r w:rsidR="00AF442A">
        <w:t>il 17,4% è riuscito ad acquisire almeno 40CFU</w:t>
      </w:r>
      <w:r w:rsidR="0070354D">
        <w:t xml:space="preserve"> (indicatore iC16)</w:t>
      </w:r>
      <w:r w:rsidR="00AF442A">
        <w:t xml:space="preserve">: </w:t>
      </w:r>
      <w:r w:rsidR="00486EC9">
        <w:t>entrambi i dati sono in diminuzione rispetto al passato</w:t>
      </w:r>
      <w:r w:rsidR="0036026B">
        <w:t xml:space="preserve"> e superiori ai corrispondenti degli altri </w:t>
      </w:r>
      <w:proofErr w:type="spellStart"/>
      <w:r w:rsidR="006826EC">
        <w:t>CdS</w:t>
      </w:r>
      <w:proofErr w:type="spellEnd"/>
      <w:r w:rsidR="0036026B">
        <w:t xml:space="preserve"> dell’Ateneo (anch’essi in diminuzione), ma rimangono </w:t>
      </w:r>
      <w:r w:rsidR="00427B04">
        <w:t xml:space="preserve">inferiori a quelli dei </w:t>
      </w:r>
      <w:proofErr w:type="spellStart"/>
      <w:r w:rsidR="006826EC">
        <w:t>CdS</w:t>
      </w:r>
      <w:proofErr w:type="spellEnd"/>
      <w:r w:rsidR="00427B04">
        <w:t xml:space="preserve"> della stessa classe </w:t>
      </w:r>
      <w:r w:rsidR="00F82BE3">
        <w:t xml:space="preserve">per gli Atenei non telematici </w:t>
      </w:r>
      <w:r w:rsidR="00427B04">
        <w:t xml:space="preserve">della stessa area geografica </w:t>
      </w:r>
      <w:r w:rsidR="00F82BE3">
        <w:t xml:space="preserve">(rispettivamente 50,5% e 27,5%) e </w:t>
      </w:r>
      <w:r w:rsidR="00794EA2">
        <w:t>del territorio nazionale (rispettivamente 5</w:t>
      </w:r>
      <w:r w:rsidR="0070354D">
        <w:t>8</w:t>
      </w:r>
      <w:r w:rsidR="00794EA2">
        <w:t>,</w:t>
      </w:r>
      <w:r w:rsidR="0070354D">
        <w:t>0</w:t>
      </w:r>
      <w:r w:rsidR="00794EA2">
        <w:t xml:space="preserve">% e </w:t>
      </w:r>
      <w:r w:rsidR="0070354D">
        <w:t>36</w:t>
      </w:r>
      <w:r w:rsidR="00794EA2">
        <w:t>,</w:t>
      </w:r>
      <w:r w:rsidR="0070354D">
        <w:t>9</w:t>
      </w:r>
      <w:r w:rsidR="00794EA2">
        <w:t>%)</w:t>
      </w:r>
      <w:r w:rsidR="009A5F35">
        <w:t>.</w:t>
      </w:r>
    </w:p>
    <w:p w14:paraId="0A38435A" w14:textId="2E7A74E5" w:rsidR="009A5F35" w:rsidRDefault="00E85E0C" w:rsidP="00022D19">
      <w:pPr>
        <w:tabs>
          <w:tab w:val="left" w:pos="940"/>
        </w:tabs>
        <w:jc w:val="both"/>
      </w:pPr>
      <w:r>
        <w:t xml:space="preserve">Gli studenti che accumulano un ritardo alla laurea entro un anno oltre la normale durata del </w:t>
      </w:r>
      <w:proofErr w:type="spellStart"/>
      <w:r w:rsidR="006826EC">
        <w:t>CdS</w:t>
      </w:r>
      <w:proofErr w:type="spellEnd"/>
      <w:r>
        <w:t xml:space="preserve"> </w:t>
      </w:r>
      <w:r w:rsidR="005265AF">
        <w:t xml:space="preserve">(indicatore iC17) </w:t>
      </w:r>
      <w:r>
        <w:t xml:space="preserve">sono </w:t>
      </w:r>
      <w:r w:rsidR="00F550B1">
        <w:t xml:space="preserve">l’11,1% nel 2022-2023, </w:t>
      </w:r>
      <w:r w:rsidR="00BF185E">
        <w:t>superiore</w:t>
      </w:r>
      <w:r w:rsidR="00925AA2">
        <w:t xml:space="preserve"> a</w:t>
      </w:r>
      <w:r w:rsidR="00BF185E">
        <w:t xml:space="preserve">lla percentuale </w:t>
      </w:r>
      <w:r w:rsidR="00925AA2">
        <w:t xml:space="preserve">di Ateneo </w:t>
      </w:r>
      <w:r w:rsidR="00BF185E">
        <w:t xml:space="preserve">(8,5%), ma </w:t>
      </w:r>
      <w:r w:rsidR="00F550B1">
        <w:t>in netto calo rispetto all’anno precedente (28,8%)</w:t>
      </w:r>
      <w:r w:rsidR="009945DC">
        <w:t xml:space="preserve">: questa diminuzione è in linea con quanto accade </w:t>
      </w:r>
      <w:r w:rsidR="00FF0C4E">
        <w:t>a livello di Ateneo</w:t>
      </w:r>
      <w:r w:rsidR="000F19A8">
        <w:t xml:space="preserve"> e</w:t>
      </w:r>
      <w:r w:rsidR="00FF0C4E">
        <w:t xml:space="preserve"> per gli altri </w:t>
      </w:r>
      <w:proofErr w:type="spellStart"/>
      <w:r w:rsidR="006826EC">
        <w:t>CdS</w:t>
      </w:r>
      <w:proofErr w:type="spellEnd"/>
      <w:r w:rsidR="00FF0C4E">
        <w:t xml:space="preserve"> della stessa classe degli altri Atenei non telematici</w:t>
      </w:r>
      <w:r w:rsidR="000F19A8">
        <w:t>,</w:t>
      </w:r>
      <w:r w:rsidR="00FF0C4E">
        <w:t xml:space="preserve"> sia di area geografica che a livello nazionale</w:t>
      </w:r>
      <w:r w:rsidR="000F19A8">
        <w:t>.</w:t>
      </w:r>
    </w:p>
    <w:p w14:paraId="61B80280" w14:textId="77777777" w:rsidR="00BF185E" w:rsidRDefault="00BF185E" w:rsidP="00022D19">
      <w:pPr>
        <w:jc w:val="both"/>
      </w:pPr>
    </w:p>
    <w:p w14:paraId="7B186328" w14:textId="5C181DF6" w:rsidR="00490F59" w:rsidRDefault="007E52AD" w:rsidP="00022D19">
      <w:pPr>
        <w:jc w:val="both"/>
      </w:pPr>
      <w:r>
        <w:t>I</w:t>
      </w:r>
      <w:r w:rsidR="00517C57" w:rsidRPr="00022D19">
        <w:t xml:space="preserve"> dati forniti da Almalaurea danno indicazione di un</w:t>
      </w:r>
      <w:r w:rsidR="00517C57" w:rsidRPr="009969E0">
        <w:t xml:space="preserve">’età media alla laurea che </w:t>
      </w:r>
      <w:r w:rsidR="00DC0B08">
        <w:t>sale</w:t>
      </w:r>
      <w:r w:rsidR="00DC0B08" w:rsidRPr="009969E0">
        <w:t xml:space="preserve"> </w:t>
      </w:r>
      <w:r w:rsidR="003E2F14">
        <w:t xml:space="preserve">da 24 </w:t>
      </w:r>
      <w:r w:rsidR="00B22D91">
        <w:t>a 24,1 anni</w:t>
      </w:r>
      <w:r w:rsidR="00517C57" w:rsidRPr="009969E0">
        <w:t>.</w:t>
      </w:r>
      <w:r w:rsidR="00965B70" w:rsidRPr="00022D19">
        <w:t xml:space="preserve"> </w:t>
      </w:r>
      <w:r w:rsidR="00965B70" w:rsidRPr="009969E0">
        <w:t xml:space="preserve">Le analisi condotte sui tempi di completamento del percorso evidenziano che il </w:t>
      </w:r>
      <w:r w:rsidR="005467D6">
        <w:t>45</w:t>
      </w:r>
      <w:r w:rsidR="000160CF">
        <w:t>,</w:t>
      </w:r>
      <w:r w:rsidR="005467D6">
        <w:t>9</w:t>
      </w:r>
      <w:r w:rsidR="00965B70" w:rsidRPr="009969E0">
        <w:t>% degli studenti si laurea nei tempi previsti</w:t>
      </w:r>
      <w:r w:rsidR="000160CF">
        <w:t xml:space="preserve"> (contro il </w:t>
      </w:r>
      <w:r w:rsidR="008D391A">
        <w:t>49</w:t>
      </w:r>
      <w:r w:rsidR="000160CF">
        <w:t>,</w:t>
      </w:r>
      <w:r w:rsidR="008D391A">
        <w:t>5</w:t>
      </w:r>
      <w:r w:rsidR="000160CF">
        <w:t>% dello scorso anno)</w:t>
      </w:r>
      <w:r w:rsidR="00965B70" w:rsidRPr="009969E0">
        <w:t xml:space="preserve">, mentre il </w:t>
      </w:r>
      <w:r w:rsidR="008D391A">
        <w:t>31</w:t>
      </w:r>
      <w:r w:rsidR="005563F6">
        <w:t>,</w:t>
      </w:r>
      <w:r w:rsidR="008D391A">
        <w:t>8</w:t>
      </w:r>
      <w:r w:rsidR="00965B70" w:rsidRPr="009969E0">
        <w:t xml:space="preserve">% risulta fuori corso di un anno e il </w:t>
      </w:r>
      <w:r w:rsidR="008D391A">
        <w:t>7</w:t>
      </w:r>
      <w:r w:rsidR="005563F6">
        <w:t>,</w:t>
      </w:r>
      <w:r w:rsidR="008D391A">
        <w:t>1</w:t>
      </w:r>
      <w:r w:rsidR="00965B70" w:rsidRPr="009969E0">
        <w:t xml:space="preserve">% di due anni. La durata media del percorso di studi si attesta su </w:t>
      </w:r>
      <w:r w:rsidR="005563F6">
        <w:t>4,</w:t>
      </w:r>
      <w:r w:rsidR="0015261B">
        <w:t>6</w:t>
      </w:r>
      <w:r w:rsidR="0015261B" w:rsidRPr="009969E0">
        <w:t xml:space="preserve"> </w:t>
      </w:r>
      <w:r w:rsidR="00965B70" w:rsidRPr="009969E0">
        <w:t>anni</w:t>
      </w:r>
      <w:r w:rsidR="005563F6">
        <w:t xml:space="preserve"> (in </w:t>
      </w:r>
      <w:r w:rsidR="0015261B">
        <w:t xml:space="preserve">lieve </w:t>
      </w:r>
      <w:r w:rsidR="00DD6A2F">
        <w:t xml:space="preserve">aumento </w:t>
      </w:r>
      <w:r w:rsidR="005563F6">
        <w:t xml:space="preserve">rispetto al </w:t>
      </w:r>
      <w:r w:rsidR="0015261B">
        <w:t>2021</w:t>
      </w:r>
      <w:r w:rsidR="005563F6">
        <w:t>)</w:t>
      </w:r>
      <w:r w:rsidR="00965B70" w:rsidRPr="009969E0">
        <w:t xml:space="preserve">, con un ritardo medio dei tempi di laurea previsti di </w:t>
      </w:r>
      <w:r w:rsidR="002133FF">
        <w:t>1,</w:t>
      </w:r>
      <w:r w:rsidR="00F6667D">
        <w:t>6</w:t>
      </w:r>
      <w:r w:rsidR="00F6667D" w:rsidRPr="009969E0">
        <w:t xml:space="preserve"> </w:t>
      </w:r>
      <w:r w:rsidR="00965B70" w:rsidRPr="009969E0">
        <w:t>anni.</w:t>
      </w:r>
    </w:p>
    <w:p w14:paraId="1BB2B713" w14:textId="77777777" w:rsidR="00490F59" w:rsidRDefault="00490F59" w:rsidP="00022D19">
      <w:pPr>
        <w:jc w:val="both"/>
      </w:pPr>
    </w:p>
    <w:p w14:paraId="09BAABB3" w14:textId="3D104B22" w:rsidR="00965B70" w:rsidRPr="009969E0" w:rsidRDefault="00212211" w:rsidP="00022D19">
      <w:pPr>
        <w:jc w:val="both"/>
      </w:pPr>
      <w:r>
        <w:t>Sia dai dati forniti dal rapporto del Gruppo di Riesame, sia da quelli forniti da Almalaurea</w:t>
      </w:r>
      <w:r w:rsidR="004F1486">
        <w:t xml:space="preserve"> </w:t>
      </w:r>
      <w:r w:rsidR="00E1593D">
        <w:t xml:space="preserve">appare </w:t>
      </w:r>
      <w:r w:rsidR="00965B70" w:rsidRPr="009969E0">
        <w:t>evidente la necessità di intraprendere azioni che vadano a contenere il tempo di laurea degli studenti immatricolati, anche al fine di rendere il profilo del neolaureato maggiormente competitivo sul mercato del lavoro nazionale ed internazionale.</w:t>
      </w:r>
    </w:p>
    <w:p w14:paraId="57BE8D17" w14:textId="77777777" w:rsidR="00CE00E0" w:rsidRPr="009969E0" w:rsidRDefault="00CE00E0" w:rsidP="009969E0">
      <w:pPr>
        <w:jc w:val="both"/>
        <w:rPr>
          <w:b/>
        </w:rPr>
      </w:pPr>
    </w:p>
    <w:p w14:paraId="44379A66" w14:textId="77777777" w:rsidR="00CE00E0" w:rsidRPr="009969E0" w:rsidRDefault="00CE00E0" w:rsidP="009969E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969E0">
        <w:rPr>
          <w:b/>
          <w:sz w:val="24"/>
          <w:szCs w:val="24"/>
        </w:rPr>
        <w:t>Analisi e proposte sull’effettiva disponibilità e correttezza delle informazioni fornite nelle parti pubbliche della SUA-</w:t>
      </w:r>
      <w:proofErr w:type="spellStart"/>
      <w:r w:rsidRPr="009969E0">
        <w:rPr>
          <w:b/>
          <w:sz w:val="24"/>
          <w:szCs w:val="24"/>
        </w:rPr>
        <w:t>CdS</w:t>
      </w:r>
      <w:proofErr w:type="spellEnd"/>
    </w:p>
    <w:p w14:paraId="242B1C3D" w14:textId="77777777" w:rsidR="003174F0" w:rsidRPr="00022D19" w:rsidRDefault="00E72E53" w:rsidP="009969E0">
      <w:pPr>
        <w:jc w:val="both"/>
      </w:pPr>
      <w:r w:rsidRPr="009969E0">
        <w:t>Non si riscontrano criticità specifiche.</w:t>
      </w:r>
    </w:p>
    <w:sectPr w:rsidR="003174F0" w:rsidRPr="00022D19" w:rsidSect="00081D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EBB6" w14:textId="77777777" w:rsidR="00A860E9" w:rsidRDefault="00A860E9" w:rsidP="00DE54B5">
      <w:r>
        <w:separator/>
      </w:r>
    </w:p>
  </w:endnote>
  <w:endnote w:type="continuationSeparator" w:id="0">
    <w:p w14:paraId="1EC53C1D" w14:textId="77777777" w:rsidR="00A860E9" w:rsidRDefault="00A860E9" w:rsidP="00DE54B5">
      <w:r>
        <w:continuationSeparator/>
      </w:r>
    </w:p>
  </w:endnote>
  <w:endnote w:type="continuationNotice" w:id="1">
    <w:p w14:paraId="021D7D8B" w14:textId="77777777" w:rsidR="00A860E9" w:rsidRDefault="00A86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1BA6" w14:textId="77777777" w:rsidR="00A860E9" w:rsidRDefault="00A860E9" w:rsidP="00DE54B5">
      <w:r>
        <w:separator/>
      </w:r>
    </w:p>
  </w:footnote>
  <w:footnote w:type="continuationSeparator" w:id="0">
    <w:p w14:paraId="7B3DCAFA" w14:textId="77777777" w:rsidR="00A860E9" w:rsidRDefault="00A860E9" w:rsidP="00DE54B5">
      <w:r>
        <w:continuationSeparator/>
      </w:r>
    </w:p>
  </w:footnote>
  <w:footnote w:type="continuationNotice" w:id="1">
    <w:p w14:paraId="1150D154" w14:textId="77777777" w:rsidR="00A860E9" w:rsidRDefault="00A86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A4C"/>
    <w:multiLevelType w:val="hybridMultilevel"/>
    <w:tmpl w:val="81702518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01AF"/>
    <w:multiLevelType w:val="hybridMultilevel"/>
    <w:tmpl w:val="6504D338"/>
    <w:lvl w:ilvl="0" w:tplc="82F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43826"/>
    <w:multiLevelType w:val="hybridMultilevel"/>
    <w:tmpl w:val="703E8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2866AC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60AA"/>
    <w:multiLevelType w:val="hybridMultilevel"/>
    <w:tmpl w:val="5AEEE3E6"/>
    <w:lvl w:ilvl="0" w:tplc="F72866AC">
      <w:start w:val="1"/>
      <w:numFmt w:val="decimal"/>
      <w:lvlText w:val="%1."/>
      <w:lvlJc w:val="left"/>
      <w:pPr>
        <w:ind w:left="1408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375D2AAB"/>
    <w:multiLevelType w:val="hybridMultilevel"/>
    <w:tmpl w:val="5920B2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72866AC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6371"/>
    <w:multiLevelType w:val="hybridMultilevel"/>
    <w:tmpl w:val="681A0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BFA"/>
    <w:multiLevelType w:val="hybridMultilevel"/>
    <w:tmpl w:val="F0A47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395"/>
    <w:multiLevelType w:val="hybridMultilevel"/>
    <w:tmpl w:val="F8AEA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295E"/>
    <w:multiLevelType w:val="hybridMultilevel"/>
    <w:tmpl w:val="CAC8E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87662"/>
    <w:multiLevelType w:val="hybridMultilevel"/>
    <w:tmpl w:val="C53054D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F72866AC">
      <w:start w:val="1"/>
      <w:numFmt w:val="decimal"/>
      <w:lvlText w:val="%2."/>
      <w:lvlJc w:val="left"/>
      <w:pPr>
        <w:ind w:left="142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D2EFA"/>
    <w:multiLevelType w:val="hybridMultilevel"/>
    <w:tmpl w:val="CD049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05925"/>
    <w:multiLevelType w:val="hybridMultilevel"/>
    <w:tmpl w:val="32DA2D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72866AC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2B45"/>
    <w:multiLevelType w:val="multilevel"/>
    <w:tmpl w:val="32DA2D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5445D"/>
    <w:multiLevelType w:val="multilevel"/>
    <w:tmpl w:val="32DA2D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10696">
    <w:abstractNumId w:val="9"/>
  </w:num>
  <w:num w:numId="2" w16cid:durableId="2131194272">
    <w:abstractNumId w:val="10"/>
  </w:num>
  <w:num w:numId="3" w16cid:durableId="1634092782">
    <w:abstractNumId w:val="7"/>
  </w:num>
  <w:num w:numId="4" w16cid:durableId="1831212409">
    <w:abstractNumId w:val="1"/>
  </w:num>
  <w:num w:numId="5" w16cid:durableId="2055691576">
    <w:abstractNumId w:val="12"/>
  </w:num>
  <w:num w:numId="6" w16cid:durableId="621376114">
    <w:abstractNumId w:val="4"/>
  </w:num>
  <w:num w:numId="7" w16cid:durableId="1017654660">
    <w:abstractNumId w:val="3"/>
  </w:num>
  <w:num w:numId="8" w16cid:durableId="1374844037">
    <w:abstractNumId w:val="11"/>
  </w:num>
  <w:num w:numId="9" w16cid:durableId="89088848">
    <w:abstractNumId w:val="13"/>
  </w:num>
  <w:num w:numId="10" w16cid:durableId="2141916350">
    <w:abstractNumId w:val="6"/>
  </w:num>
  <w:num w:numId="11" w16cid:durableId="446706893">
    <w:abstractNumId w:val="8"/>
  </w:num>
  <w:num w:numId="12" w16cid:durableId="1291859372">
    <w:abstractNumId w:val="2"/>
  </w:num>
  <w:num w:numId="13" w16cid:durableId="991494174">
    <w:abstractNumId w:val="5"/>
  </w:num>
  <w:num w:numId="14" w16cid:durableId="52907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4F0"/>
    <w:rsid w:val="00002081"/>
    <w:rsid w:val="00011BB5"/>
    <w:rsid w:val="00013374"/>
    <w:rsid w:val="00015E92"/>
    <w:rsid w:val="000160CF"/>
    <w:rsid w:val="00017B04"/>
    <w:rsid w:val="00022D19"/>
    <w:rsid w:val="000230B5"/>
    <w:rsid w:val="000253A7"/>
    <w:rsid w:val="000268B6"/>
    <w:rsid w:val="00026F8C"/>
    <w:rsid w:val="00027348"/>
    <w:rsid w:val="00027479"/>
    <w:rsid w:val="00027C88"/>
    <w:rsid w:val="00030692"/>
    <w:rsid w:val="00030B3C"/>
    <w:rsid w:val="0003382E"/>
    <w:rsid w:val="00040229"/>
    <w:rsid w:val="00046A57"/>
    <w:rsid w:val="00046BAC"/>
    <w:rsid w:val="00050A3F"/>
    <w:rsid w:val="00051A68"/>
    <w:rsid w:val="000546C0"/>
    <w:rsid w:val="000566B6"/>
    <w:rsid w:val="0006064F"/>
    <w:rsid w:val="00060D57"/>
    <w:rsid w:val="00062A07"/>
    <w:rsid w:val="000658F3"/>
    <w:rsid w:val="00066F45"/>
    <w:rsid w:val="00070646"/>
    <w:rsid w:val="00073507"/>
    <w:rsid w:val="00081D79"/>
    <w:rsid w:val="000849A7"/>
    <w:rsid w:val="00091F1A"/>
    <w:rsid w:val="000950A2"/>
    <w:rsid w:val="00095892"/>
    <w:rsid w:val="000971E1"/>
    <w:rsid w:val="000A0861"/>
    <w:rsid w:val="000A2E6D"/>
    <w:rsid w:val="000A420C"/>
    <w:rsid w:val="000A75CA"/>
    <w:rsid w:val="000B1B5A"/>
    <w:rsid w:val="000B3FCA"/>
    <w:rsid w:val="000B7744"/>
    <w:rsid w:val="000C08C7"/>
    <w:rsid w:val="000C1187"/>
    <w:rsid w:val="000C1CCA"/>
    <w:rsid w:val="000C6F90"/>
    <w:rsid w:val="000D45D0"/>
    <w:rsid w:val="000D5E5B"/>
    <w:rsid w:val="000E2FE5"/>
    <w:rsid w:val="000E5003"/>
    <w:rsid w:val="000E6E20"/>
    <w:rsid w:val="000F1753"/>
    <w:rsid w:val="000F19A8"/>
    <w:rsid w:val="000F536C"/>
    <w:rsid w:val="00103DDB"/>
    <w:rsid w:val="001040F7"/>
    <w:rsid w:val="00104B67"/>
    <w:rsid w:val="00110A0F"/>
    <w:rsid w:val="00115411"/>
    <w:rsid w:val="001169E9"/>
    <w:rsid w:val="0011741C"/>
    <w:rsid w:val="001335AD"/>
    <w:rsid w:val="001349A1"/>
    <w:rsid w:val="00136502"/>
    <w:rsid w:val="0015011C"/>
    <w:rsid w:val="0015261B"/>
    <w:rsid w:val="00154EED"/>
    <w:rsid w:val="001616ED"/>
    <w:rsid w:val="00164730"/>
    <w:rsid w:val="001669DE"/>
    <w:rsid w:val="00167AA1"/>
    <w:rsid w:val="001722D3"/>
    <w:rsid w:val="0017295D"/>
    <w:rsid w:val="001775B3"/>
    <w:rsid w:val="00180016"/>
    <w:rsid w:val="00180FF6"/>
    <w:rsid w:val="00181767"/>
    <w:rsid w:val="0018202B"/>
    <w:rsid w:val="00190122"/>
    <w:rsid w:val="0019203F"/>
    <w:rsid w:val="001947E1"/>
    <w:rsid w:val="001952DC"/>
    <w:rsid w:val="001973B9"/>
    <w:rsid w:val="001A50B4"/>
    <w:rsid w:val="001A5CA4"/>
    <w:rsid w:val="001A7D30"/>
    <w:rsid w:val="001B1A2D"/>
    <w:rsid w:val="001B3572"/>
    <w:rsid w:val="001B7C0D"/>
    <w:rsid w:val="001C1C9F"/>
    <w:rsid w:val="001C2694"/>
    <w:rsid w:val="001D5F45"/>
    <w:rsid w:val="001E179C"/>
    <w:rsid w:val="001E42F8"/>
    <w:rsid w:val="001F74FC"/>
    <w:rsid w:val="0020104C"/>
    <w:rsid w:val="00212211"/>
    <w:rsid w:val="002133BA"/>
    <w:rsid w:val="002133FF"/>
    <w:rsid w:val="002215E5"/>
    <w:rsid w:val="00221C77"/>
    <w:rsid w:val="00224AD2"/>
    <w:rsid w:val="00227671"/>
    <w:rsid w:val="00235BFA"/>
    <w:rsid w:val="002377FC"/>
    <w:rsid w:val="00250249"/>
    <w:rsid w:val="00251D2A"/>
    <w:rsid w:val="00254D4A"/>
    <w:rsid w:val="00261297"/>
    <w:rsid w:val="00264918"/>
    <w:rsid w:val="002663B3"/>
    <w:rsid w:val="00270EE5"/>
    <w:rsid w:val="00273020"/>
    <w:rsid w:val="00274C48"/>
    <w:rsid w:val="00274F19"/>
    <w:rsid w:val="002763F0"/>
    <w:rsid w:val="00276DD1"/>
    <w:rsid w:val="00281371"/>
    <w:rsid w:val="00283F37"/>
    <w:rsid w:val="00284A7A"/>
    <w:rsid w:val="002A1263"/>
    <w:rsid w:val="002A1939"/>
    <w:rsid w:val="002A40D5"/>
    <w:rsid w:val="002B5748"/>
    <w:rsid w:val="002B6C36"/>
    <w:rsid w:val="002B7FBF"/>
    <w:rsid w:val="002C124C"/>
    <w:rsid w:val="002C2993"/>
    <w:rsid w:val="002C4496"/>
    <w:rsid w:val="002C5CE2"/>
    <w:rsid w:val="002D3F4B"/>
    <w:rsid w:val="002E6D1C"/>
    <w:rsid w:val="002E7A60"/>
    <w:rsid w:val="002F2961"/>
    <w:rsid w:val="003001CD"/>
    <w:rsid w:val="00300D54"/>
    <w:rsid w:val="00301B2F"/>
    <w:rsid w:val="00306FB1"/>
    <w:rsid w:val="003075F7"/>
    <w:rsid w:val="00310C9D"/>
    <w:rsid w:val="0031399F"/>
    <w:rsid w:val="0031412F"/>
    <w:rsid w:val="00315E98"/>
    <w:rsid w:val="003170FF"/>
    <w:rsid w:val="003174F0"/>
    <w:rsid w:val="00320585"/>
    <w:rsid w:val="0032190C"/>
    <w:rsid w:val="00321AE7"/>
    <w:rsid w:val="00321D18"/>
    <w:rsid w:val="00321EDB"/>
    <w:rsid w:val="00323E9D"/>
    <w:rsid w:val="00325BBE"/>
    <w:rsid w:val="0032692B"/>
    <w:rsid w:val="0032710A"/>
    <w:rsid w:val="00333249"/>
    <w:rsid w:val="00333D17"/>
    <w:rsid w:val="00341A78"/>
    <w:rsid w:val="00346F96"/>
    <w:rsid w:val="00352334"/>
    <w:rsid w:val="003524FF"/>
    <w:rsid w:val="00352573"/>
    <w:rsid w:val="00352E3A"/>
    <w:rsid w:val="003556B7"/>
    <w:rsid w:val="0036026B"/>
    <w:rsid w:val="003639E6"/>
    <w:rsid w:val="00370EDB"/>
    <w:rsid w:val="00376ABB"/>
    <w:rsid w:val="00380631"/>
    <w:rsid w:val="00381334"/>
    <w:rsid w:val="00384068"/>
    <w:rsid w:val="0039385C"/>
    <w:rsid w:val="00394B20"/>
    <w:rsid w:val="00396888"/>
    <w:rsid w:val="003A7F7B"/>
    <w:rsid w:val="003B1108"/>
    <w:rsid w:val="003C4465"/>
    <w:rsid w:val="003C5B5F"/>
    <w:rsid w:val="003D1114"/>
    <w:rsid w:val="003E2F14"/>
    <w:rsid w:val="003E4E4C"/>
    <w:rsid w:val="003E5C5F"/>
    <w:rsid w:val="003E605B"/>
    <w:rsid w:val="003E694C"/>
    <w:rsid w:val="003E6BA3"/>
    <w:rsid w:val="003E7F41"/>
    <w:rsid w:val="003F04FD"/>
    <w:rsid w:val="003F2F7C"/>
    <w:rsid w:val="003F46E1"/>
    <w:rsid w:val="003F666E"/>
    <w:rsid w:val="00403D64"/>
    <w:rsid w:val="0041310D"/>
    <w:rsid w:val="00413F40"/>
    <w:rsid w:val="00415163"/>
    <w:rsid w:val="004163C8"/>
    <w:rsid w:val="0042393A"/>
    <w:rsid w:val="00424517"/>
    <w:rsid w:val="00427B04"/>
    <w:rsid w:val="00430022"/>
    <w:rsid w:val="00432CE5"/>
    <w:rsid w:val="00434338"/>
    <w:rsid w:val="004372A7"/>
    <w:rsid w:val="004425E8"/>
    <w:rsid w:val="00444D6B"/>
    <w:rsid w:val="0045250F"/>
    <w:rsid w:val="004530D3"/>
    <w:rsid w:val="00454273"/>
    <w:rsid w:val="00462B40"/>
    <w:rsid w:val="00465B35"/>
    <w:rsid w:val="00465FF0"/>
    <w:rsid w:val="00470941"/>
    <w:rsid w:val="00471BC5"/>
    <w:rsid w:val="00474204"/>
    <w:rsid w:val="00477313"/>
    <w:rsid w:val="00486EC9"/>
    <w:rsid w:val="00490F59"/>
    <w:rsid w:val="004922E9"/>
    <w:rsid w:val="00492625"/>
    <w:rsid w:val="00493AEB"/>
    <w:rsid w:val="004966A6"/>
    <w:rsid w:val="004977B4"/>
    <w:rsid w:val="00497930"/>
    <w:rsid w:val="004A0734"/>
    <w:rsid w:val="004A4DA0"/>
    <w:rsid w:val="004A5B9D"/>
    <w:rsid w:val="004A62D5"/>
    <w:rsid w:val="004B0E5E"/>
    <w:rsid w:val="004B1D93"/>
    <w:rsid w:val="004B54E9"/>
    <w:rsid w:val="004B64ED"/>
    <w:rsid w:val="004B7D2E"/>
    <w:rsid w:val="004C0E32"/>
    <w:rsid w:val="004C1B5C"/>
    <w:rsid w:val="004C1C30"/>
    <w:rsid w:val="004C36FD"/>
    <w:rsid w:val="004D421C"/>
    <w:rsid w:val="004D4270"/>
    <w:rsid w:val="004D5BB5"/>
    <w:rsid w:val="004E1E7E"/>
    <w:rsid w:val="004E291C"/>
    <w:rsid w:val="004E6AFC"/>
    <w:rsid w:val="004E708B"/>
    <w:rsid w:val="004E7892"/>
    <w:rsid w:val="004F0FBB"/>
    <w:rsid w:val="004F1486"/>
    <w:rsid w:val="004F2251"/>
    <w:rsid w:val="004F5204"/>
    <w:rsid w:val="00503996"/>
    <w:rsid w:val="0050419B"/>
    <w:rsid w:val="00504927"/>
    <w:rsid w:val="00512DCE"/>
    <w:rsid w:val="00513511"/>
    <w:rsid w:val="00513E74"/>
    <w:rsid w:val="00516E4B"/>
    <w:rsid w:val="005171FC"/>
    <w:rsid w:val="00517C57"/>
    <w:rsid w:val="00524C14"/>
    <w:rsid w:val="00525F57"/>
    <w:rsid w:val="005265AF"/>
    <w:rsid w:val="005467D6"/>
    <w:rsid w:val="00550895"/>
    <w:rsid w:val="005552FA"/>
    <w:rsid w:val="005563F6"/>
    <w:rsid w:val="005623F8"/>
    <w:rsid w:val="005652A1"/>
    <w:rsid w:val="005710F0"/>
    <w:rsid w:val="00571DBC"/>
    <w:rsid w:val="005721CF"/>
    <w:rsid w:val="0057435A"/>
    <w:rsid w:val="005746D8"/>
    <w:rsid w:val="00574F3C"/>
    <w:rsid w:val="00581601"/>
    <w:rsid w:val="005844E8"/>
    <w:rsid w:val="00584728"/>
    <w:rsid w:val="005958C7"/>
    <w:rsid w:val="005959E4"/>
    <w:rsid w:val="005960E8"/>
    <w:rsid w:val="00597143"/>
    <w:rsid w:val="00597B6A"/>
    <w:rsid w:val="005A0804"/>
    <w:rsid w:val="005A4DFC"/>
    <w:rsid w:val="005A7E54"/>
    <w:rsid w:val="005B4039"/>
    <w:rsid w:val="005B51F4"/>
    <w:rsid w:val="005B679A"/>
    <w:rsid w:val="005C43F4"/>
    <w:rsid w:val="005C5D70"/>
    <w:rsid w:val="005C6742"/>
    <w:rsid w:val="005D102B"/>
    <w:rsid w:val="005D14DE"/>
    <w:rsid w:val="005D15D1"/>
    <w:rsid w:val="005D3E47"/>
    <w:rsid w:val="005D458B"/>
    <w:rsid w:val="005D6B3C"/>
    <w:rsid w:val="005D744F"/>
    <w:rsid w:val="005F0202"/>
    <w:rsid w:val="005F1CD2"/>
    <w:rsid w:val="005F3F59"/>
    <w:rsid w:val="00600372"/>
    <w:rsid w:val="0060455D"/>
    <w:rsid w:val="00607711"/>
    <w:rsid w:val="00611D19"/>
    <w:rsid w:val="0061294C"/>
    <w:rsid w:val="0062212A"/>
    <w:rsid w:val="00631C95"/>
    <w:rsid w:val="006327CA"/>
    <w:rsid w:val="00632D65"/>
    <w:rsid w:val="006350A6"/>
    <w:rsid w:val="006359CE"/>
    <w:rsid w:val="0064138B"/>
    <w:rsid w:val="0064213C"/>
    <w:rsid w:val="006428B9"/>
    <w:rsid w:val="0064417E"/>
    <w:rsid w:val="00644ED3"/>
    <w:rsid w:val="00646395"/>
    <w:rsid w:val="006478C2"/>
    <w:rsid w:val="00652815"/>
    <w:rsid w:val="006556DA"/>
    <w:rsid w:val="00663C85"/>
    <w:rsid w:val="00670014"/>
    <w:rsid w:val="006702BC"/>
    <w:rsid w:val="006711ED"/>
    <w:rsid w:val="00680761"/>
    <w:rsid w:val="00681BE4"/>
    <w:rsid w:val="006826EC"/>
    <w:rsid w:val="006931C1"/>
    <w:rsid w:val="00693DAC"/>
    <w:rsid w:val="00693EC4"/>
    <w:rsid w:val="006943E9"/>
    <w:rsid w:val="006A08DA"/>
    <w:rsid w:val="006A6F90"/>
    <w:rsid w:val="006B187A"/>
    <w:rsid w:val="006B4D44"/>
    <w:rsid w:val="006B564C"/>
    <w:rsid w:val="006C33A7"/>
    <w:rsid w:val="006C5427"/>
    <w:rsid w:val="006C7CFD"/>
    <w:rsid w:val="006D19EF"/>
    <w:rsid w:val="006D23E5"/>
    <w:rsid w:val="006D3D2C"/>
    <w:rsid w:val="006D5D07"/>
    <w:rsid w:val="006E1A9E"/>
    <w:rsid w:val="006E4AD2"/>
    <w:rsid w:val="006E6576"/>
    <w:rsid w:val="006E7E84"/>
    <w:rsid w:val="006F3335"/>
    <w:rsid w:val="00702223"/>
    <w:rsid w:val="0070354D"/>
    <w:rsid w:val="00705116"/>
    <w:rsid w:val="0070609D"/>
    <w:rsid w:val="00707422"/>
    <w:rsid w:val="00712565"/>
    <w:rsid w:val="00714E22"/>
    <w:rsid w:val="00715BC6"/>
    <w:rsid w:val="00717E25"/>
    <w:rsid w:val="007200F9"/>
    <w:rsid w:val="00723961"/>
    <w:rsid w:val="00727B65"/>
    <w:rsid w:val="007400BB"/>
    <w:rsid w:val="00741988"/>
    <w:rsid w:val="00752D3E"/>
    <w:rsid w:val="00756868"/>
    <w:rsid w:val="0076193D"/>
    <w:rsid w:val="00761EB8"/>
    <w:rsid w:val="00770EC6"/>
    <w:rsid w:val="007741C4"/>
    <w:rsid w:val="007758BB"/>
    <w:rsid w:val="007804D0"/>
    <w:rsid w:val="00780B48"/>
    <w:rsid w:val="00785679"/>
    <w:rsid w:val="007867BA"/>
    <w:rsid w:val="00791151"/>
    <w:rsid w:val="00791B1B"/>
    <w:rsid w:val="00791BF5"/>
    <w:rsid w:val="0079252E"/>
    <w:rsid w:val="00793617"/>
    <w:rsid w:val="007949EC"/>
    <w:rsid w:val="00794EA2"/>
    <w:rsid w:val="007A0A02"/>
    <w:rsid w:val="007A3F8F"/>
    <w:rsid w:val="007B61EE"/>
    <w:rsid w:val="007C4A78"/>
    <w:rsid w:val="007C5E1E"/>
    <w:rsid w:val="007C6510"/>
    <w:rsid w:val="007D02E5"/>
    <w:rsid w:val="007D0818"/>
    <w:rsid w:val="007D1B0D"/>
    <w:rsid w:val="007D1BF3"/>
    <w:rsid w:val="007D2662"/>
    <w:rsid w:val="007D56B3"/>
    <w:rsid w:val="007E52AD"/>
    <w:rsid w:val="007E6FD4"/>
    <w:rsid w:val="007F4EBA"/>
    <w:rsid w:val="007F79C3"/>
    <w:rsid w:val="00800993"/>
    <w:rsid w:val="008021C2"/>
    <w:rsid w:val="008027C1"/>
    <w:rsid w:val="00805F91"/>
    <w:rsid w:val="008105EC"/>
    <w:rsid w:val="0081088F"/>
    <w:rsid w:val="008118F2"/>
    <w:rsid w:val="00811E6E"/>
    <w:rsid w:val="00812EC2"/>
    <w:rsid w:val="00814E14"/>
    <w:rsid w:val="00824EC4"/>
    <w:rsid w:val="00827DDB"/>
    <w:rsid w:val="008306DE"/>
    <w:rsid w:val="00833E5F"/>
    <w:rsid w:val="0084752D"/>
    <w:rsid w:val="00850DB2"/>
    <w:rsid w:val="00851AD3"/>
    <w:rsid w:val="00852662"/>
    <w:rsid w:val="0085680A"/>
    <w:rsid w:val="00856B4A"/>
    <w:rsid w:val="0085760E"/>
    <w:rsid w:val="0086612F"/>
    <w:rsid w:val="00871931"/>
    <w:rsid w:val="008723EC"/>
    <w:rsid w:val="008734F7"/>
    <w:rsid w:val="008763DE"/>
    <w:rsid w:val="0088023D"/>
    <w:rsid w:val="00883527"/>
    <w:rsid w:val="00895CF7"/>
    <w:rsid w:val="008A1DCD"/>
    <w:rsid w:val="008A280D"/>
    <w:rsid w:val="008A4E6B"/>
    <w:rsid w:val="008A6E84"/>
    <w:rsid w:val="008B08D8"/>
    <w:rsid w:val="008B1B71"/>
    <w:rsid w:val="008B669F"/>
    <w:rsid w:val="008B7A5B"/>
    <w:rsid w:val="008C1583"/>
    <w:rsid w:val="008C7888"/>
    <w:rsid w:val="008D09D6"/>
    <w:rsid w:val="008D12D8"/>
    <w:rsid w:val="008D391A"/>
    <w:rsid w:val="008D4EF2"/>
    <w:rsid w:val="008E0095"/>
    <w:rsid w:val="008E2101"/>
    <w:rsid w:val="008F28FA"/>
    <w:rsid w:val="008F5A5D"/>
    <w:rsid w:val="00903C8B"/>
    <w:rsid w:val="009102D1"/>
    <w:rsid w:val="00912329"/>
    <w:rsid w:val="0092131A"/>
    <w:rsid w:val="0092301F"/>
    <w:rsid w:val="00925AA2"/>
    <w:rsid w:val="00925C6E"/>
    <w:rsid w:val="00926F8C"/>
    <w:rsid w:val="00941B41"/>
    <w:rsid w:val="00951394"/>
    <w:rsid w:val="00951A16"/>
    <w:rsid w:val="00961E57"/>
    <w:rsid w:val="00961E8C"/>
    <w:rsid w:val="0096280B"/>
    <w:rsid w:val="00962CED"/>
    <w:rsid w:val="00964B42"/>
    <w:rsid w:val="00965873"/>
    <w:rsid w:val="00965B70"/>
    <w:rsid w:val="009719D5"/>
    <w:rsid w:val="00971BE5"/>
    <w:rsid w:val="00972265"/>
    <w:rsid w:val="009837B2"/>
    <w:rsid w:val="00992E2E"/>
    <w:rsid w:val="009945DC"/>
    <w:rsid w:val="00994E0E"/>
    <w:rsid w:val="009969E0"/>
    <w:rsid w:val="00997A74"/>
    <w:rsid w:val="009A2196"/>
    <w:rsid w:val="009A4C9F"/>
    <w:rsid w:val="009A5F35"/>
    <w:rsid w:val="009A77CD"/>
    <w:rsid w:val="009A7D29"/>
    <w:rsid w:val="009B224C"/>
    <w:rsid w:val="009B3364"/>
    <w:rsid w:val="009B34E3"/>
    <w:rsid w:val="009B61BF"/>
    <w:rsid w:val="009B6378"/>
    <w:rsid w:val="009C02CB"/>
    <w:rsid w:val="009C3108"/>
    <w:rsid w:val="009C3BFD"/>
    <w:rsid w:val="009C4B12"/>
    <w:rsid w:val="009D2666"/>
    <w:rsid w:val="009D7080"/>
    <w:rsid w:val="009E2D59"/>
    <w:rsid w:val="009E5F59"/>
    <w:rsid w:val="009F380F"/>
    <w:rsid w:val="009F418F"/>
    <w:rsid w:val="00A00791"/>
    <w:rsid w:val="00A04E0D"/>
    <w:rsid w:val="00A04E2B"/>
    <w:rsid w:val="00A06DA8"/>
    <w:rsid w:val="00A07A89"/>
    <w:rsid w:val="00A10807"/>
    <w:rsid w:val="00A13284"/>
    <w:rsid w:val="00A16595"/>
    <w:rsid w:val="00A21642"/>
    <w:rsid w:val="00A23EB4"/>
    <w:rsid w:val="00A25CA3"/>
    <w:rsid w:val="00A417E1"/>
    <w:rsid w:val="00A42D3E"/>
    <w:rsid w:val="00A44F06"/>
    <w:rsid w:val="00A55B43"/>
    <w:rsid w:val="00A562A7"/>
    <w:rsid w:val="00A5677F"/>
    <w:rsid w:val="00A56BB5"/>
    <w:rsid w:val="00A60644"/>
    <w:rsid w:val="00A61549"/>
    <w:rsid w:val="00A617F3"/>
    <w:rsid w:val="00A650CF"/>
    <w:rsid w:val="00A670C8"/>
    <w:rsid w:val="00A70AEA"/>
    <w:rsid w:val="00A745BA"/>
    <w:rsid w:val="00A77A0D"/>
    <w:rsid w:val="00A80F0F"/>
    <w:rsid w:val="00A847AF"/>
    <w:rsid w:val="00A85B66"/>
    <w:rsid w:val="00A860E9"/>
    <w:rsid w:val="00A8610D"/>
    <w:rsid w:val="00A942F7"/>
    <w:rsid w:val="00AB2E18"/>
    <w:rsid w:val="00AB525A"/>
    <w:rsid w:val="00AB5906"/>
    <w:rsid w:val="00AB7905"/>
    <w:rsid w:val="00AD01D7"/>
    <w:rsid w:val="00AD2F46"/>
    <w:rsid w:val="00AD33BF"/>
    <w:rsid w:val="00AE0CAB"/>
    <w:rsid w:val="00AE27B4"/>
    <w:rsid w:val="00AE2B45"/>
    <w:rsid w:val="00AE440A"/>
    <w:rsid w:val="00AE7C7A"/>
    <w:rsid w:val="00AF2624"/>
    <w:rsid w:val="00AF310F"/>
    <w:rsid w:val="00AF3EF0"/>
    <w:rsid w:val="00AF442A"/>
    <w:rsid w:val="00AF7117"/>
    <w:rsid w:val="00AF730E"/>
    <w:rsid w:val="00B0663D"/>
    <w:rsid w:val="00B06E0B"/>
    <w:rsid w:val="00B14191"/>
    <w:rsid w:val="00B14868"/>
    <w:rsid w:val="00B1636A"/>
    <w:rsid w:val="00B22A52"/>
    <w:rsid w:val="00B22D91"/>
    <w:rsid w:val="00B24892"/>
    <w:rsid w:val="00B2756B"/>
    <w:rsid w:val="00B35B85"/>
    <w:rsid w:val="00B361D2"/>
    <w:rsid w:val="00B37E23"/>
    <w:rsid w:val="00B42546"/>
    <w:rsid w:val="00B4279A"/>
    <w:rsid w:val="00B44F7E"/>
    <w:rsid w:val="00B51041"/>
    <w:rsid w:val="00B52C1D"/>
    <w:rsid w:val="00B55EC8"/>
    <w:rsid w:val="00B569AD"/>
    <w:rsid w:val="00B61075"/>
    <w:rsid w:val="00B6126A"/>
    <w:rsid w:val="00B61508"/>
    <w:rsid w:val="00B64425"/>
    <w:rsid w:val="00B673D8"/>
    <w:rsid w:val="00B71857"/>
    <w:rsid w:val="00B734A4"/>
    <w:rsid w:val="00B73856"/>
    <w:rsid w:val="00B76EBE"/>
    <w:rsid w:val="00B800A2"/>
    <w:rsid w:val="00B82082"/>
    <w:rsid w:val="00B86648"/>
    <w:rsid w:val="00B87182"/>
    <w:rsid w:val="00B913FB"/>
    <w:rsid w:val="00B9243E"/>
    <w:rsid w:val="00B92826"/>
    <w:rsid w:val="00B95B1D"/>
    <w:rsid w:val="00B96AD1"/>
    <w:rsid w:val="00BA03B1"/>
    <w:rsid w:val="00BA1E1E"/>
    <w:rsid w:val="00BB1E7F"/>
    <w:rsid w:val="00BB4127"/>
    <w:rsid w:val="00BB4FBD"/>
    <w:rsid w:val="00BB7FB4"/>
    <w:rsid w:val="00BC5644"/>
    <w:rsid w:val="00BC74D8"/>
    <w:rsid w:val="00BD181C"/>
    <w:rsid w:val="00BD277E"/>
    <w:rsid w:val="00BD49CC"/>
    <w:rsid w:val="00BE1D6C"/>
    <w:rsid w:val="00BE359B"/>
    <w:rsid w:val="00BE46AB"/>
    <w:rsid w:val="00BE6529"/>
    <w:rsid w:val="00BE71FB"/>
    <w:rsid w:val="00BF185E"/>
    <w:rsid w:val="00BF5E65"/>
    <w:rsid w:val="00C0411F"/>
    <w:rsid w:val="00C04900"/>
    <w:rsid w:val="00C06A44"/>
    <w:rsid w:val="00C1080D"/>
    <w:rsid w:val="00C109C0"/>
    <w:rsid w:val="00C17EB5"/>
    <w:rsid w:val="00C23391"/>
    <w:rsid w:val="00C24919"/>
    <w:rsid w:val="00C2502C"/>
    <w:rsid w:val="00C32065"/>
    <w:rsid w:val="00C35DDD"/>
    <w:rsid w:val="00C37778"/>
    <w:rsid w:val="00C40974"/>
    <w:rsid w:val="00C40D63"/>
    <w:rsid w:val="00C4332A"/>
    <w:rsid w:val="00C43C55"/>
    <w:rsid w:val="00C45C02"/>
    <w:rsid w:val="00C47F18"/>
    <w:rsid w:val="00C524D8"/>
    <w:rsid w:val="00C539A0"/>
    <w:rsid w:val="00C6100A"/>
    <w:rsid w:val="00C66CF5"/>
    <w:rsid w:val="00C73964"/>
    <w:rsid w:val="00C757DC"/>
    <w:rsid w:val="00C75933"/>
    <w:rsid w:val="00C81FDB"/>
    <w:rsid w:val="00C842F9"/>
    <w:rsid w:val="00C876C8"/>
    <w:rsid w:val="00C91CE2"/>
    <w:rsid w:val="00C95972"/>
    <w:rsid w:val="00C96592"/>
    <w:rsid w:val="00C97A43"/>
    <w:rsid w:val="00CA328D"/>
    <w:rsid w:val="00CB0501"/>
    <w:rsid w:val="00CB257A"/>
    <w:rsid w:val="00CB49A2"/>
    <w:rsid w:val="00CB7824"/>
    <w:rsid w:val="00CC02EE"/>
    <w:rsid w:val="00CC0794"/>
    <w:rsid w:val="00CC4F31"/>
    <w:rsid w:val="00CC699B"/>
    <w:rsid w:val="00CC6FBC"/>
    <w:rsid w:val="00CD6268"/>
    <w:rsid w:val="00CE005A"/>
    <w:rsid w:val="00CE00E0"/>
    <w:rsid w:val="00CE1704"/>
    <w:rsid w:val="00CE1F3C"/>
    <w:rsid w:val="00CE2AEB"/>
    <w:rsid w:val="00CF2CCA"/>
    <w:rsid w:val="00CF3550"/>
    <w:rsid w:val="00CF429F"/>
    <w:rsid w:val="00D026A5"/>
    <w:rsid w:val="00D02E95"/>
    <w:rsid w:val="00D04130"/>
    <w:rsid w:val="00D04D71"/>
    <w:rsid w:val="00D05400"/>
    <w:rsid w:val="00D1297A"/>
    <w:rsid w:val="00D12AD0"/>
    <w:rsid w:val="00D13454"/>
    <w:rsid w:val="00D13E44"/>
    <w:rsid w:val="00D15D14"/>
    <w:rsid w:val="00D16A21"/>
    <w:rsid w:val="00D16E77"/>
    <w:rsid w:val="00D2167E"/>
    <w:rsid w:val="00D21C0B"/>
    <w:rsid w:val="00D22037"/>
    <w:rsid w:val="00D26D5E"/>
    <w:rsid w:val="00D30ECB"/>
    <w:rsid w:val="00D345CE"/>
    <w:rsid w:val="00D37042"/>
    <w:rsid w:val="00D3770F"/>
    <w:rsid w:val="00D42163"/>
    <w:rsid w:val="00D42433"/>
    <w:rsid w:val="00D5455E"/>
    <w:rsid w:val="00D60729"/>
    <w:rsid w:val="00D62116"/>
    <w:rsid w:val="00D65928"/>
    <w:rsid w:val="00D73B2F"/>
    <w:rsid w:val="00D74AC6"/>
    <w:rsid w:val="00D77109"/>
    <w:rsid w:val="00D80DB7"/>
    <w:rsid w:val="00D81600"/>
    <w:rsid w:val="00D83A25"/>
    <w:rsid w:val="00D83B81"/>
    <w:rsid w:val="00D85BE4"/>
    <w:rsid w:val="00D86A06"/>
    <w:rsid w:val="00D9119F"/>
    <w:rsid w:val="00D934E0"/>
    <w:rsid w:val="00D93B7C"/>
    <w:rsid w:val="00DB447A"/>
    <w:rsid w:val="00DB65A5"/>
    <w:rsid w:val="00DC03C1"/>
    <w:rsid w:val="00DC0709"/>
    <w:rsid w:val="00DC0B08"/>
    <w:rsid w:val="00DC156E"/>
    <w:rsid w:val="00DC2D05"/>
    <w:rsid w:val="00DC3B6F"/>
    <w:rsid w:val="00DC4FFA"/>
    <w:rsid w:val="00DC6B32"/>
    <w:rsid w:val="00DD12FF"/>
    <w:rsid w:val="00DD1979"/>
    <w:rsid w:val="00DD439B"/>
    <w:rsid w:val="00DD6A2F"/>
    <w:rsid w:val="00DD720F"/>
    <w:rsid w:val="00DE2C81"/>
    <w:rsid w:val="00DE54B5"/>
    <w:rsid w:val="00DE5CF4"/>
    <w:rsid w:val="00DE7F98"/>
    <w:rsid w:val="00DF116E"/>
    <w:rsid w:val="00DF1C07"/>
    <w:rsid w:val="00DF4A09"/>
    <w:rsid w:val="00DF4E23"/>
    <w:rsid w:val="00DF7046"/>
    <w:rsid w:val="00DF7B96"/>
    <w:rsid w:val="00E001F4"/>
    <w:rsid w:val="00E01714"/>
    <w:rsid w:val="00E02EA2"/>
    <w:rsid w:val="00E116CD"/>
    <w:rsid w:val="00E14081"/>
    <w:rsid w:val="00E1593D"/>
    <w:rsid w:val="00E1750D"/>
    <w:rsid w:val="00E20A1B"/>
    <w:rsid w:val="00E214BA"/>
    <w:rsid w:val="00E23678"/>
    <w:rsid w:val="00E363C7"/>
    <w:rsid w:val="00E432A4"/>
    <w:rsid w:val="00E46244"/>
    <w:rsid w:val="00E51551"/>
    <w:rsid w:val="00E60FF7"/>
    <w:rsid w:val="00E644B7"/>
    <w:rsid w:val="00E656D6"/>
    <w:rsid w:val="00E6637C"/>
    <w:rsid w:val="00E66B33"/>
    <w:rsid w:val="00E7053D"/>
    <w:rsid w:val="00E71A25"/>
    <w:rsid w:val="00E72E53"/>
    <w:rsid w:val="00E7608A"/>
    <w:rsid w:val="00E80153"/>
    <w:rsid w:val="00E82A9D"/>
    <w:rsid w:val="00E84FC6"/>
    <w:rsid w:val="00E85E0C"/>
    <w:rsid w:val="00E86A1E"/>
    <w:rsid w:val="00E87C97"/>
    <w:rsid w:val="00E90520"/>
    <w:rsid w:val="00E9079C"/>
    <w:rsid w:val="00E90B9F"/>
    <w:rsid w:val="00E92CA6"/>
    <w:rsid w:val="00E96A49"/>
    <w:rsid w:val="00E9736C"/>
    <w:rsid w:val="00EA2886"/>
    <w:rsid w:val="00EA38E4"/>
    <w:rsid w:val="00EA3E28"/>
    <w:rsid w:val="00EA6701"/>
    <w:rsid w:val="00EA6866"/>
    <w:rsid w:val="00EA7668"/>
    <w:rsid w:val="00EB0D45"/>
    <w:rsid w:val="00EB5019"/>
    <w:rsid w:val="00EB6DF4"/>
    <w:rsid w:val="00EC0126"/>
    <w:rsid w:val="00EC6F44"/>
    <w:rsid w:val="00EC726B"/>
    <w:rsid w:val="00ED1756"/>
    <w:rsid w:val="00ED2B7C"/>
    <w:rsid w:val="00ED2E38"/>
    <w:rsid w:val="00ED3B95"/>
    <w:rsid w:val="00ED4D90"/>
    <w:rsid w:val="00ED6A05"/>
    <w:rsid w:val="00EF1937"/>
    <w:rsid w:val="00EF4E4C"/>
    <w:rsid w:val="00F0076C"/>
    <w:rsid w:val="00F009E3"/>
    <w:rsid w:val="00F04B9D"/>
    <w:rsid w:val="00F071E7"/>
    <w:rsid w:val="00F1090D"/>
    <w:rsid w:val="00F14C6A"/>
    <w:rsid w:val="00F15029"/>
    <w:rsid w:val="00F23191"/>
    <w:rsid w:val="00F24536"/>
    <w:rsid w:val="00F26495"/>
    <w:rsid w:val="00F2758E"/>
    <w:rsid w:val="00F275D1"/>
    <w:rsid w:val="00F30C5F"/>
    <w:rsid w:val="00F31BC1"/>
    <w:rsid w:val="00F31DFD"/>
    <w:rsid w:val="00F34455"/>
    <w:rsid w:val="00F425C4"/>
    <w:rsid w:val="00F42F64"/>
    <w:rsid w:val="00F449CD"/>
    <w:rsid w:val="00F46842"/>
    <w:rsid w:val="00F50820"/>
    <w:rsid w:val="00F550B1"/>
    <w:rsid w:val="00F60D5E"/>
    <w:rsid w:val="00F63909"/>
    <w:rsid w:val="00F64F18"/>
    <w:rsid w:val="00F662EE"/>
    <w:rsid w:val="00F6667D"/>
    <w:rsid w:val="00F67AC7"/>
    <w:rsid w:val="00F72565"/>
    <w:rsid w:val="00F72602"/>
    <w:rsid w:val="00F73B3F"/>
    <w:rsid w:val="00F7737C"/>
    <w:rsid w:val="00F82BE3"/>
    <w:rsid w:val="00F84C93"/>
    <w:rsid w:val="00F86B9A"/>
    <w:rsid w:val="00F90139"/>
    <w:rsid w:val="00F91174"/>
    <w:rsid w:val="00F91A15"/>
    <w:rsid w:val="00F91D74"/>
    <w:rsid w:val="00F964A7"/>
    <w:rsid w:val="00FA13AF"/>
    <w:rsid w:val="00FA1E54"/>
    <w:rsid w:val="00FA7178"/>
    <w:rsid w:val="00FB0DE1"/>
    <w:rsid w:val="00FB3F83"/>
    <w:rsid w:val="00FB529C"/>
    <w:rsid w:val="00FB5814"/>
    <w:rsid w:val="00FB70EC"/>
    <w:rsid w:val="00FB7626"/>
    <w:rsid w:val="00FC1D1C"/>
    <w:rsid w:val="00FC2D36"/>
    <w:rsid w:val="00FC6999"/>
    <w:rsid w:val="00FC6A55"/>
    <w:rsid w:val="00FD07E9"/>
    <w:rsid w:val="00FD71AC"/>
    <w:rsid w:val="00FD7753"/>
    <w:rsid w:val="00FE32E5"/>
    <w:rsid w:val="00FE3AE8"/>
    <w:rsid w:val="00FE4370"/>
    <w:rsid w:val="00FE7ABA"/>
    <w:rsid w:val="00FF082A"/>
    <w:rsid w:val="00FF0C4E"/>
    <w:rsid w:val="00FF171B"/>
    <w:rsid w:val="00FF3273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8EF5"/>
  <w14:defaultImageDpi w14:val="300"/>
  <w15:docId w15:val="{C7EC98FE-71A8-407E-8524-DBB2BA6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4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07A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5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4B5"/>
  </w:style>
  <w:style w:type="paragraph" w:styleId="Pidipagina">
    <w:name w:val="footer"/>
    <w:basedOn w:val="Normale"/>
    <w:link w:val="PidipaginaCarattere"/>
    <w:uiPriority w:val="99"/>
    <w:unhideWhenUsed/>
    <w:rsid w:val="00DE5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4B5"/>
  </w:style>
  <w:style w:type="character" w:styleId="Rimandocommento">
    <w:name w:val="annotation reference"/>
    <w:basedOn w:val="Carpredefinitoparagrafo"/>
    <w:uiPriority w:val="99"/>
    <w:semiHidden/>
    <w:unhideWhenUsed/>
    <w:rsid w:val="00346F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6F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6F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F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F9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F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F9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61E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e">
    <w:name w:val="Revision"/>
    <w:hidden/>
    <w:uiPriority w:val="99"/>
    <w:semiHidden/>
    <w:rsid w:val="00B64425"/>
  </w:style>
  <w:style w:type="character" w:customStyle="1" w:styleId="ui-provider">
    <w:name w:val="ui-provider"/>
    <w:basedOn w:val="Carpredefinitoparagrafo"/>
    <w:rsid w:val="00B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svaldidat.it/HOM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4CC929DA173D478C5A3C51E52391E4" ma:contentTypeVersion="20" ma:contentTypeDescription="Creare un nuovo documento." ma:contentTypeScope="" ma:versionID="c99095c320025717b6f14c14aeecefed">
  <xsd:schema xmlns:xsd="http://www.w3.org/2001/XMLSchema" xmlns:xs="http://www.w3.org/2001/XMLSchema" xmlns:p="http://schemas.microsoft.com/office/2006/metadata/properties" xmlns:ns2="450f152d-9ade-45a5-9a40-75febd359573" xmlns:ns3="d7dbfd55-b709-466f-9ee9-e6e191f35dd3" targetNamespace="http://schemas.microsoft.com/office/2006/metadata/properties" ma:root="true" ma:fieldsID="7b34366481bc21f82bb9ead0f7e9db6f" ns2:_="" ns3:_="">
    <xsd:import namespace="450f152d-9ade-45a5-9a40-75febd359573"/>
    <xsd:import namespace="d7dbfd55-b709-466f-9ee9-e6e191f3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f152d-9ade-45a5-9a40-75febd359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fd55-b709-466f-9ee9-e6e191f3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b6728e-bd6e-411e-a786-d6e75ed9b38c}" ma:internalName="TaxCatchAll" ma:showField="CatchAllData" ma:web="d7dbfd55-b709-466f-9ee9-e6e191f3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bfd55-b709-466f-9ee9-e6e191f35dd3" xsi:nil="true"/>
    <lcf76f155ced4ddcb4097134ff3c332f xmlns="450f152d-9ade-45a5-9a40-75febd3595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550C6-A845-49AA-8FB7-3722385FC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f152d-9ade-45a5-9a40-75febd359573"/>
    <ds:schemaRef ds:uri="d7dbfd55-b709-466f-9ee9-e6e191f3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B01E7-731B-41C2-9AD6-94DC8481D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85EE6-EE32-4F34-B59B-B7CA77640FF9}">
  <ds:schemaRefs>
    <ds:schemaRef ds:uri="http://schemas.microsoft.com/office/2006/metadata/properties"/>
    <ds:schemaRef ds:uri="http://schemas.microsoft.com/office/infopath/2007/PartnerControls"/>
    <ds:schemaRef ds:uri="d7dbfd55-b709-466f-9ee9-e6e191f35dd3"/>
    <ds:schemaRef ds:uri="450f152d-9ade-45a5-9a40-75febd359573"/>
  </ds:schemaRefs>
</ds:datastoreItem>
</file>

<file path=customXml/itemProps4.xml><?xml version="1.0" encoding="utf-8"?>
<ds:datastoreItem xmlns:ds="http://schemas.openxmlformats.org/officeDocument/2006/customXml" ds:itemID="{6C76C9D4-A73D-4D77-A644-932C1B74A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Andreassi</dc:creator>
  <cp:lastModifiedBy>elisa battistoni</cp:lastModifiedBy>
  <cp:revision>81</cp:revision>
  <dcterms:created xsi:type="dcterms:W3CDTF">2023-11-10T19:02:00Z</dcterms:created>
  <dcterms:modified xsi:type="dcterms:W3CDTF">2023-11-13T08:31:00Z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0x0101004B4CC929DA173D478C5A3C51E52391E4</vt:lpwstr>
  </property>
  <property fmtid="{D5CDD505-2E9C-101B-9397-08002B2CF9AE}" pid="3" name="MediaServiceImageTags">
    <vt:lpwstr/>
  </property>
  <property fmtid="{D5CDD505-2E9C-101B-9397-08002B2CF9AE}" pid="4" name="GrammarlyDocumentId">
    <vt:lpwstr>eb482e39e458f620d4457bad7be7ce48643b4ea34aaaac4e169631842ef66256</vt:lpwstr>
  </property>
</Properties>
</file>