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60E4C" w14:textId="77777777" w:rsidR="007B3831" w:rsidRPr="001278BC" w:rsidRDefault="007B3831" w:rsidP="007B383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278BC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44968BA" wp14:editId="4F437199">
            <wp:extent cx="2819400" cy="676275"/>
            <wp:effectExtent l="0" t="0" r="0" b="9525"/>
            <wp:docPr id="1514977332" name="Immagine 2" descr="Immagine che contiene testo, Carattere, Elementi grafici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Carattere, Elementi grafici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F3960" w14:textId="77777777" w:rsidR="007B3831" w:rsidRPr="001278BC" w:rsidRDefault="007B3831" w:rsidP="007B383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638E175" w14:textId="77777777" w:rsidR="007B3831" w:rsidRPr="001278BC" w:rsidRDefault="007B3831" w:rsidP="007B383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F2E0737" w14:textId="77777777" w:rsidR="007B3831" w:rsidRDefault="007B3831" w:rsidP="007B383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3D7AE48" w14:textId="4D2B7CB3" w:rsidR="007B3831" w:rsidRPr="001278BC" w:rsidRDefault="007B3831" w:rsidP="007B383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SCHEDA DI MONITORAGGIO ANNUALE – ANNO 2026</w:t>
      </w:r>
    </w:p>
    <w:p w14:paraId="6445F02C" w14:textId="36A7B558" w:rsidR="007B3831" w:rsidRPr="001278BC" w:rsidRDefault="007B3831" w:rsidP="007B383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LAUREA MAGISTRALE IN INGEGNERIA GESTIONALE – LM-31</w:t>
      </w:r>
    </w:p>
    <w:p w14:paraId="6A1BB707" w14:textId="77777777" w:rsidR="007B3831" w:rsidRPr="001278BC" w:rsidRDefault="007B3831" w:rsidP="007B383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proofErr w:type="spellEnd"/>
      <w:r>
        <w:rPr>
          <w:rFonts w:ascii="Arial" w:hAnsi="Arial"/>
          <w:sz w:val="22"/>
        </w:rPr>
        <w:t xml:space="preserve">COORDINATORE </w:t>
      </w:r>
      <w:r>
        <w:rPr>
          <w:rFonts w:ascii="Arial" w:hAnsi="Arial"/>
          <w:b/>
          <w:sz w:val="22"/>
        </w:rPr>
        <w:t>CdS</w:t>
      </w:r>
      <w:r>
        <w:rPr>
          <w:rFonts w:ascii="Arial" w:hAnsi="Arial"/>
          <w:sz w:val="22"/>
        </w:rPr>
        <w:t xml:space="preserve"> INGEGNERIA GESTIONALE: Prof. Massimiliano Caramia</w:t>
      </w:r>
    </w:p>
    <w:p w14:paraId="38CE0645" w14:textId="77777777" w:rsidR="007B3831" w:rsidRDefault="007B3831" w:rsidP="00346816">
      <w:pPr>
        <w:autoSpaceDE w:val="0"/>
        <w:autoSpaceDN w:val="0"/>
        <w:adjustRightInd w:val="0"/>
        <w:jc w:val="both"/>
      </w:pPr>
    </w:p>
    <w:p w14:paraId="1106C64D" w14:textId="77777777" w:rsidR="007B3831" w:rsidRDefault="007B3831" w:rsidP="00346816">
      <w:pPr>
        <w:autoSpaceDE w:val="0"/>
        <w:autoSpaceDN w:val="0"/>
        <w:adjustRightInd w:val="0"/>
        <w:jc w:val="both"/>
      </w:pPr>
    </w:p>
    <w:p w14:paraId="40D0129C" w14:textId="58D4BC25" w:rsidR="00346816" w:rsidRPr="00D87D73" w:rsidRDefault="00346816" w:rsidP="00B34367">
      <w:pPr>
        <w:autoSpaceDE w:val="0"/>
        <w:autoSpaceDN w:val="0"/>
        <w:adjustRightInd w:val="0"/>
        <w:jc w:val="both"/>
      </w:pPr>
      <w:proofErr w:type="spellStart"/>
      <w:proofErr w:type="spellEnd"/>
      <w:r>
        <w:t xml:space="preserve">Si riporta il commento agli indicatori maggiormente rappresentativi e attinenti agli obiettivi strategici dell'Ateneo - integrati con altri ritenuti significativi dal </w:t>
      </w:r>
      <w:r>
        <w:rPr>
          <w:b/>
        </w:rPr>
        <w:t>CdS</w:t>
      </w:r>
      <w:r>
        <w:t xml:space="preserve"> - come raccomandato dalle linee guida ANVUR. L'analisi, condotta tenendo conto dei dati disponibili nell'ultimo triennio, è organizzata rispetto alle seguenti voci: Attrattività, Efficienza e andamento delle carriere, Soddisfazione e occupabilità dei laureati, Qualificazione del corpo docente e sostenibilità, Gruppo B – Indicatori internazionalizzazione (DM987/2017 e DM6/2019, allegato E). I dati sono aggiornati sulla base della Scheda ANVUR del 4 luglio 2026, dei dati </w:t>
      </w:r>
      <w:r>
        <w:rPr>
          <w:b/>
        </w:rPr>
        <w:t>AlmaLaurea</w:t>
      </w:r>
      <w:r>
        <w:t xml:space="preserve"> disponibili nel 2026 e dei dati di Ateneo sugli immatricolati 2025/26.</w:t>
      </w:r>
    </w:p>
    <w:p w14:paraId="539AF3D1" w14:textId="0632450E" w:rsidR="0008439A" w:rsidRPr="00D87D73" w:rsidRDefault="0008439A" w:rsidP="00BB1A13">
      <w:pPr>
        <w:autoSpaceDE w:val="0"/>
        <w:autoSpaceDN w:val="0"/>
        <w:adjustRightInd w:val="0"/>
        <w:jc w:val="both"/>
      </w:pPr>
    </w:p>
    <w:p w14:paraId="7A888784" w14:textId="71B2A922" w:rsidR="00C53208" w:rsidRPr="00D87D73" w:rsidRDefault="00C53208" w:rsidP="00BB1A13">
      <w:pPr>
        <w:autoSpaceDE w:val="0"/>
        <w:autoSpaceDN w:val="0"/>
        <w:adjustRightInd w:val="0"/>
        <w:jc w:val="both"/>
        <w:rPr>
          <w:b/>
          <w:bCs/>
        </w:rPr>
      </w:pPr>
      <w:r w:rsidRPr="00D87D73">
        <w:rPr>
          <w:b/>
          <w:bCs/>
        </w:rPr>
        <w:t>A</w:t>
      </w:r>
      <w:r w:rsidR="00085B3A" w:rsidRPr="00D87D73">
        <w:rPr>
          <w:b/>
          <w:bCs/>
        </w:rPr>
        <w:t xml:space="preserve">TTRATTIVITA’ </w:t>
      </w:r>
    </w:p>
    <w:p w14:paraId="5B7CD71E" w14:textId="3519FC36" w:rsidR="00253B08" w:rsidRPr="00253B08" w:rsidRDefault="00253B08" w:rsidP="00924EFA">
      <w:pPr>
        <w:autoSpaceDE w:val="0"/>
        <w:autoSpaceDN w:val="0"/>
        <w:adjustRightInd w:val="0"/>
        <w:jc w:val="both"/>
        <w:rPr>
          <w:shd w:val="clear" w:color="auto" w:fill="FFFFFF"/>
        </w:rPr>
      </w:pPr>
      <w:proofErr w:type="spellStart"/>
      <w:proofErr w:type="spellEnd"/>
      <w:proofErr w:type="spellStart"/>
      <w:proofErr w:type="spellEnd"/>
      <w:proofErr w:type="spellStart"/>
      <w:proofErr w:type="spellEnd"/>
      <w:r>
        <w:t>Il numero di avvii di carriera al primo anno (</w:t>
      </w:r>
      <w:r>
        <w:rPr>
          <w:b/>
        </w:rPr>
        <w:t>iC00</w:t>
      </w:r>
      <w:r>
        <w:t xml:space="preserve">a) registra una forte crescita nell'ultimo anno: 76 nel 2023/24, 79 nel 2024/25 e 138 nel 2025/26. La media del triennio è 97,7, a fronte di 90,0 per i </w:t>
      </w:r>
      <w:r>
        <w:rPr>
          <w:b/>
        </w:rPr>
        <w:t>CdS</w:t>
      </w:r>
      <w:r>
        <w:t xml:space="preserve"> della stessa classe della stessa area geografica e 131,1 a livello nazionale. Il dato 2025/26 segna quindi una netta discontinuità positiva rispetto al biennio precedente.</w:t>
      </w:r>
    </w:p>
    <w:p w14:paraId="5F556E6A" w14:textId="6838FC65" w:rsidR="00253B08" w:rsidRPr="00253B08" w:rsidRDefault="00253B08" w:rsidP="00253B08">
      <w:pPr>
        <w:autoSpaceDE w:val="0"/>
        <w:autoSpaceDN w:val="0"/>
        <w:adjustRightInd w:val="0"/>
        <w:jc w:val="both"/>
        <w:rPr>
          <w:shd w:val="clear" w:color="auto" w:fill="FFFFFF"/>
        </w:rPr>
      </w:pPr>
      <w:proofErr w:type="spellStart"/>
      <w:proofErr w:type="spellEnd"/>
      <w:r>
        <w:t>Anche gli iscritti per la prima volta a una Laurea Magistrale (</w:t>
      </w:r>
      <w:r>
        <w:rPr>
          <w:b/>
        </w:rPr>
        <w:t>iC00</w:t>
      </w:r>
      <w:r>
        <w:t xml:space="preserve">c) aumentano sensibilmente: 71 nel 2023/24, 76 nel 2024/25 e 136 nel 2025/26. La media triennale del </w:t>
      </w:r>
      <w:r>
        <w:rPr>
          <w:b/>
        </w:rPr>
        <w:t>CdS</w:t>
      </w:r>
      <w:r>
        <w:t xml:space="preserve"> è 94,3, superiore alla media della stessa area geografica (82,0) e ancora inferiore a quella nazionale (119,3).</w:t>
      </w:r>
    </w:p>
    <w:p w14:paraId="6B79D483" w14:textId="3E13390F" w:rsidR="00253B08" w:rsidRPr="00253B08" w:rsidRDefault="00253B08" w:rsidP="00253B08">
      <w:pPr>
        <w:autoSpaceDE w:val="0"/>
        <w:autoSpaceDN w:val="0"/>
        <w:adjustRightInd w:val="0"/>
        <w:jc w:val="both"/>
        <w:rPr>
          <w:shd w:val="clear" w:color="auto" w:fill="FFFFFF"/>
        </w:rPr>
      </w:pPr>
      <w:proofErr w:type="spellStart"/>
      <w:proofErr w:type="spellEnd"/>
      <w:r>
        <w:t xml:space="preserve">Gli iscritti totali al </w:t>
      </w:r>
      <w:r>
        <w:rPr>
          <w:b/>
        </w:rPr>
        <w:t>CdLM</w:t>
      </w:r>
      <w:r>
        <w:t xml:space="preserve"> (</w:t>
      </w:r>
      <w:r>
        <w:rPr>
          <w:b/>
        </w:rPr>
        <w:t>iC00</w:t>
      </w:r>
      <w:r>
        <w:t>d) passano da 189 nel 2023/24 a 194 nel 2024/25 e a 240 nel 2025/26, con un incremento del 27,0% rispetto al 2023/24. Nello stesso triennio la media della stessa area geografica è 220,9 e quella nazionale 320,6.</w:t>
      </w:r>
    </w:p>
    <w:p w14:paraId="3BDA9708" w14:textId="03621F11" w:rsidR="00253B08" w:rsidRPr="00253B08" w:rsidRDefault="00253B08" w:rsidP="00253B08">
      <w:pPr>
        <w:autoSpaceDE w:val="0"/>
        <w:autoSpaceDN w:val="0"/>
        <w:adjustRightInd w:val="0"/>
        <w:jc w:val="both"/>
        <w:rPr>
          <w:shd w:val="clear" w:color="auto" w:fill="FFFFFF"/>
        </w:rPr>
      </w:pPr>
      <w:r>
        <w:t>Gli iscritti regolari (</w:t>
      </w:r>
      <w:r>
        <w:rPr>
          <w:b/>
        </w:rPr>
        <w:t>iC00</w:t>
      </w:r>
      <w:r>
        <w:t xml:space="preserve">e) sono 149 nel 2023/24, 150 nel 2024/25 e 215 nel 2025/26. L'aumento dell'ultimo anno è particolarmente rilevante (+43,3% rispetto al 2024/25) e porta il </w:t>
      </w:r>
      <w:r>
        <w:rPr>
          <w:b/>
        </w:rPr>
        <w:t>CdS</w:t>
      </w:r>
      <w:r>
        <w:t xml:space="preserve"> sopra la media 2025/26 della stessa area geografica (165,4), pur restando sotto il dato nazionale (252,3).</w:t>
      </w:r>
    </w:p>
    <w:p w14:paraId="4BE0E80B" w14:textId="7497295D" w:rsidR="00253B08" w:rsidRPr="00253B08" w:rsidRDefault="00253B08" w:rsidP="00253B08">
      <w:pPr>
        <w:autoSpaceDE w:val="0"/>
        <w:autoSpaceDN w:val="0"/>
        <w:adjustRightInd w:val="0"/>
        <w:jc w:val="both"/>
        <w:rPr>
          <w:shd w:val="clear" w:color="auto" w:fill="FFFFFF"/>
        </w:rPr>
      </w:pPr>
      <w:proofErr w:type="spellStart"/>
      <w:proofErr w:type="spellEnd"/>
      <w:proofErr w:type="spellStart"/>
      <w:proofErr w:type="spellEnd"/>
      <w:r>
        <w:t>Gli iscritti regolari immatricolati puri (</w:t>
      </w:r>
      <w:r>
        <w:rPr>
          <w:b/>
        </w:rPr>
        <w:t>iC00</w:t>
      </w:r>
      <w:r>
        <w:t xml:space="preserve">f) sono 139 nel 2023/24, 146 nel 2024/25 e 210 nel 2025/26. La media triennale del </w:t>
      </w:r>
      <w:r>
        <w:rPr>
          <w:b/>
        </w:rPr>
        <w:t>CdS</w:t>
      </w:r>
      <w:r>
        <w:t xml:space="preserve"> (165,0) è superiore alla corrispondente media della stessa area geografica (158,2) e inferiore a quella nazionale (238,1).</w:t>
      </w:r>
    </w:p>
    <w:p w14:paraId="0E32DB8B" w14:textId="77928892" w:rsidR="00253B08" w:rsidRPr="00253B08" w:rsidRDefault="00253B08" w:rsidP="00105667">
      <w:pPr>
        <w:autoSpaceDE w:val="0"/>
        <w:autoSpaceDN w:val="0"/>
        <w:adjustRightInd w:val="0"/>
        <w:jc w:val="both"/>
        <w:rPr>
          <w:shd w:val="clear" w:color="auto" w:fill="FFFFFF"/>
        </w:rPr>
      </w:pPr>
      <w:r>
        <w:t>Confrontando iscritti totali (</w:t>
      </w:r>
      <w:r>
        <w:rPr>
          <w:b/>
        </w:rPr>
        <w:t>iC00</w:t>
      </w:r>
      <w:r>
        <w:t>d) e iscritti regolari (</w:t>
      </w:r>
      <w:r>
        <w:rPr>
          <w:b/>
        </w:rPr>
        <w:t>iC00</w:t>
      </w:r>
      <w:r>
        <w:t>e), la quota di studenti non regolari risulta pari a circa il 21,2% nel 2023/24, 22,7% nel 2024/25 e 10,4% nel 2025/26. Il forte aumento degli ingressi nel 2025/26 si accompagna quindi a una riduzione della quota relativa di iscritti non regolari.</w:t>
      </w:r>
    </w:p>
    <w:p w14:paraId="501D2C67" w14:textId="1FEAFBC6" w:rsidR="00253B08" w:rsidRPr="00253B08" w:rsidRDefault="00253B08" w:rsidP="00253B08">
      <w:pPr>
        <w:autoSpaceDE w:val="0"/>
        <w:autoSpaceDN w:val="0"/>
        <w:adjustRightInd w:val="0"/>
        <w:jc w:val="both"/>
        <w:rPr>
          <w:shd w:val="clear" w:color="auto" w:fill="FFFFFF"/>
        </w:rPr>
      </w:pPr>
      <w:r>
        <w:t xml:space="preserve">Particolarmente significativo è l'indicatore </w:t>
      </w:r>
      <w:r>
        <w:rPr>
          <w:b/>
        </w:rPr>
        <w:t>iC04</w:t>
      </w:r>
      <w:r>
        <w:t>, relativo agli iscritti al primo anno della LM laureati in altro Ateneo: 3,9% nel 2023/24, 1,3% nel 2024/25 e 47,8% nel 2025/26. Nel 2025/26 il dato è ampiamente superiore alla media della stessa area geografica (20,1%) e a quella nazionale (26,2%). I dati di Ateneo sugli immatricolati 2025/26 confermano inoltre una forte componente internazionale: su 138 immatricolati, 59 risultano residenti all'estero.</w:t>
      </w:r>
    </w:p>
    <w:p w14:paraId="186DB7D8" w14:textId="77777777" w:rsidR="00C53208" w:rsidRPr="00D87D73" w:rsidRDefault="00C53208" w:rsidP="00BB1A13">
      <w:pPr>
        <w:autoSpaceDE w:val="0"/>
        <w:autoSpaceDN w:val="0"/>
        <w:adjustRightInd w:val="0"/>
        <w:jc w:val="both"/>
        <w:rPr>
          <w:color w:val="333333"/>
          <w:shd w:val="clear" w:color="auto" w:fill="FFFFFF"/>
        </w:rPr>
      </w:pPr>
    </w:p>
    <w:p w14:paraId="66D69DB9" w14:textId="69142BBA" w:rsidR="00C234E5" w:rsidRPr="0004189C" w:rsidRDefault="0082248B" w:rsidP="00FB413C">
      <w:pPr>
        <w:autoSpaceDE w:val="0"/>
        <w:autoSpaceDN w:val="0"/>
        <w:adjustRightInd w:val="0"/>
        <w:jc w:val="both"/>
        <w:rPr>
          <w:b/>
          <w:bCs/>
        </w:rPr>
      </w:pPr>
      <w:r w:rsidRPr="0004189C">
        <w:rPr>
          <w:b/>
          <w:bCs/>
        </w:rPr>
        <w:t>EFFICIENZA ED ANDAMENTO DELLE CARRIERE</w:t>
      </w:r>
    </w:p>
    <w:p w14:paraId="14E5A3F4" w14:textId="1EF2694E" w:rsidR="000339F2" w:rsidRPr="000339F2" w:rsidRDefault="000339F2" w:rsidP="000339F2">
      <w:pPr>
        <w:jc w:val="both"/>
        <w:rPr>
          <w:shd w:val="clear" w:color="auto" w:fill="FFFFFF"/>
        </w:rPr>
      </w:pPr>
      <w:proofErr w:type="spellStart"/>
      <w:proofErr w:type="spellEnd"/>
      <w:proofErr w:type="spellStart"/>
      <w:proofErr w:type="spellEnd"/>
      <w:r>
        <w:t xml:space="preserve">Nel triennio di rilevazione 2022/23 – 2024/25, la percentuale degli iscritti entro la durata normale del </w:t>
      </w:r>
      <w:r>
        <w:rPr>
          <w:b/>
        </w:rPr>
        <w:t>CdS</w:t>
      </w:r>
      <w:r>
        <w:t xml:space="preserve"> che hanno acquisito almeno 40 CFU nell'anno (</w:t>
      </w:r>
      <w:r>
        <w:rPr>
          <w:b/>
        </w:rPr>
        <w:t>iC01</w:t>
      </w:r>
      <w:r>
        <w:t xml:space="preserve">) è in crescita: 58,5% nel 2022/23, 64,4% nel 2023/24 e 73,3% nel 2024/25. La media triennale (65,4%) è superiore a quella degli Atenei della stessa area geografica (61,7%) e rimane inferiore alla media nazionale (71,7%); nell'ultimo anno il valore del </w:t>
      </w:r>
      <w:r>
        <w:rPr>
          <w:b/>
        </w:rPr>
        <w:t>CdS</w:t>
      </w:r>
      <w:r>
        <w:t xml:space="preserve"> supera anche il dato nazionale (72,7%).</w:t>
      </w:r>
    </w:p>
    <w:p w14:paraId="48CF7486" w14:textId="2C5A861B" w:rsidR="000339F2" w:rsidRPr="000339F2" w:rsidRDefault="000339F2" w:rsidP="000339F2">
      <w:pPr>
        <w:jc w:val="both"/>
        <w:rPr>
          <w:shd w:val="clear" w:color="auto" w:fill="FFFFFF"/>
        </w:rPr>
      </w:pPr>
      <w:proofErr w:type="spellStart"/>
      <w:proofErr w:type="spellEnd"/>
      <w:r>
        <w:t xml:space="preserve">La percentuale di laureati entro la durata normale del </w:t>
      </w:r>
      <w:r>
        <w:rPr>
          <w:b/>
        </w:rPr>
        <w:t>CdS</w:t>
      </w:r>
      <w:r>
        <w:t xml:space="preserve"> (</w:t>
      </w:r>
      <w:r>
        <w:rPr>
          <w:b/>
        </w:rPr>
        <w:t>iC02</w:t>
      </w:r>
      <w:r>
        <w:t>) mostra invece un graduale calo: 81,1% nel 2023/24, 79,1% nel 2024/25 e 76,6% nel 2025/26. Nonostante la diminuzione, la media del triennio (78,9%) resta nettamente superiore sia a quella della stessa area geografica (69,9%) sia a quella nazionale (65,9%). È inoltre molto elevata la percentuale di laureati entro un anno oltre la durata normale (</w:t>
      </w:r>
      <w:r>
        <w:rPr>
          <w:b/>
        </w:rPr>
        <w:t>iC02BIS</w:t>
      </w:r>
      <w:r>
        <w:t>), pari al 97,4% nel 2025/26.</w:t>
      </w:r>
    </w:p>
    <w:p w14:paraId="59B60AF3" w14:textId="37D4F51E" w:rsidR="000339F2" w:rsidRPr="000339F2" w:rsidRDefault="000339F2" w:rsidP="00647F41">
      <w:pPr>
        <w:jc w:val="both"/>
        <w:rPr>
          <w:shd w:val="clear" w:color="auto" w:fill="FFFFFF"/>
        </w:rPr>
      </w:pPr>
      <w:r>
        <w:t>Nel triennio 2022/23 – 2024/25, la percentuale di CFU conseguiti nel primo anno su quelli previsti (</w:t>
      </w:r>
      <w:r>
        <w:rPr>
          <w:b/>
        </w:rPr>
        <w:t>iC13</w:t>
      </w:r>
      <w:r>
        <w:t>) è pari al 61,8%, 69,2% e 68,5%. La media del triennio (66,5%) è sostanzialmente in linea con quella degli Atenei della stessa area geografica (66,8%) e inferiore a quella nazionale (75,7%).</w:t>
      </w:r>
    </w:p>
    <w:p w14:paraId="37CEF70D" w14:textId="1FFEDFE7" w:rsidR="000339F2" w:rsidRPr="000339F2" w:rsidRDefault="000339F2" w:rsidP="000339F2">
      <w:pPr>
        <w:jc w:val="both"/>
        <w:rPr>
          <w:shd w:val="clear" w:color="auto" w:fill="FFFFFF"/>
        </w:rPr>
      </w:pPr>
      <w:proofErr w:type="spellStart"/>
      <w:proofErr w:type="spellEnd"/>
      <w:r>
        <w:t xml:space="preserve">La percentuale di studenti che proseguono al secondo anno nello stesso </w:t>
      </w:r>
      <w:r>
        <w:rPr>
          <w:b/>
        </w:rPr>
        <w:t>CdS</w:t>
      </w:r>
      <w:r>
        <w:t xml:space="preserve"> (</w:t>
      </w:r>
      <w:r>
        <w:rPr>
          <w:b/>
        </w:rPr>
        <w:t>iC14</w:t>
      </w:r>
      <w:r>
        <w:t>) rimane molto elevata: 97,1% nel 2022/23, 97,2% nel 2023/24 e 96,1% nel 2024/25, con una media triennale del 96,8%, sostanzialmente allineata ai benchmark geografici e nazionali.</w:t>
      </w:r>
    </w:p>
    <w:p w14:paraId="19E88158" w14:textId="1127E064" w:rsidR="000339F2" w:rsidRPr="000339F2" w:rsidRDefault="000339F2" w:rsidP="000339F2">
      <w:pPr>
        <w:jc w:val="both"/>
        <w:rPr>
          <w:shd w:val="clear" w:color="auto" w:fill="FFFFFF"/>
        </w:rPr>
      </w:pPr>
      <w:r>
        <w:t>Per gli studenti che proseguono al secondo anno avendo acquisito almeno 20 CFU (</w:t>
      </w:r>
      <w:r>
        <w:rPr>
          <w:b/>
        </w:rPr>
        <w:t>iC15</w:t>
      </w:r>
      <w:r>
        <w:t xml:space="preserve">), i valori del triennio 2022/23 – 2024/25 sono 84,3%, 90,1% e 81,6% (media 85,3%). L'indicatore </w:t>
      </w:r>
      <w:r>
        <w:rPr>
          <w:b/>
        </w:rPr>
        <w:t>iC16</w:t>
      </w:r>
      <w:r>
        <w:t>, relativo ad almeno 40 CFU al primo anno, migliora invece sensibilmente: 35,7%, 56,3% e 63,2%. Il dato più recente supera la media della stessa area geografica (56,9%), pur rimanendo inferiore a quella nazionale (68,6%).</w:t>
      </w:r>
    </w:p>
    <w:p w14:paraId="07B6DBB9" w14:textId="27E12412" w:rsidR="000339F2" w:rsidRPr="000339F2" w:rsidRDefault="000339F2" w:rsidP="000339F2">
      <w:pPr>
        <w:jc w:val="both"/>
        <w:rPr>
          <w:shd w:val="clear" w:color="auto" w:fill="FFFFFF"/>
        </w:rPr>
      </w:pPr>
      <w:proofErr w:type="spellStart"/>
      <w:proofErr w:type="spellEnd"/>
      <w:r>
        <w:t>La percentuale di immatricolati che si laureano entro un anno oltre la durata normale degli studi (</w:t>
      </w:r>
      <w:r>
        <w:rPr>
          <w:b/>
        </w:rPr>
        <w:t>iC17</w:t>
      </w:r>
      <w:r>
        <w:t>) è pari all'80,0% nel 2022/23, 82,6% nel 2023/24 e 78,6% nel 2024/25. Il valore più recente è inferiore alla media della stessa area geografica (86,4%) e a quella nazionale (87,4%) e merita pertanto di essere monitorato, pur restando su livelli elevati.</w:t>
      </w:r>
    </w:p>
    <w:p w14:paraId="4F5D42B9" w14:textId="73FD3AA9" w:rsidR="007F1A2C" w:rsidRPr="00362F71" w:rsidRDefault="007F1A2C" w:rsidP="007F1A2C">
      <w:pPr>
        <w:jc w:val="both"/>
        <w:rPr>
          <w:shd w:val="clear" w:color="auto" w:fill="FFFFFF"/>
        </w:rPr>
      </w:pPr>
      <w:r>
        <w:t xml:space="preserve">Dal profilo dei laureati 2025 elaborato da </w:t>
      </w:r>
      <w:r>
        <w:rPr>
          <w:b/>
        </w:rPr>
        <w:t>AlmaLaurea</w:t>
      </w:r>
      <w:r>
        <w:t xml:space="preserve"> si registra un ritardo medio alla laurea di 0,6 anni, rispetto a 0,7 anni per i laureati 2024 e 0,6 anni per i laureati 2023. La durata media degli studi è pari a 2,6 anni.</w:t>
      </w:r>
    </w:p>
    <w:p w14:paraId="54F62FD1" w14:textId="1947A874" w:rsidR="00085B3A" w:rsidRDefault="007F1A2C" w:rsidP="007F1A2C">
      <w:pPr>
        <w:jc w:val="both"/>
        <w:rPr>
          <w:shd w:val="clear" w:color="auto" w:fill="FFFFFF"/>
        </w:rPr>
      </w:pPr>
      <w:r>
        <w:t xml:space="preserve">Dai dati </w:t>
      </w:r>
      <w:r>
        <w:rPr>
          <w:b/>
        </w:rPr>
        <w:t>AlmaLaurea</w:t>
      </w:r>
      <w:r>
        <w:t xml:space="preserve"> sul profilo dei laureati 2025 risulta che l'88,3% risiede nella provincia di Roma, il 9,1% in altra provincia della regione Lazio e il 2,6% in altra regione. Il voto medio di laurea è pari a 110,0/110, rispetto a 109,4/110 per i laureati 2024 e 110,1/110 per i laureati 2023.</w:t>
      </w:r>
    </w:p>
    <w:p w14:paraId="470259A9" w14:textId="77777777" w:rsidR="007F1A2C" w:rsidRPr="00D87D73" w:rsidRDefault="007F1A2C" w:rsidP="007F1A2C">
      <w:pPr>
        <w:jc w:val="both"/>
        <w:rPr>
          <w:shd w:val="clear" w:color="auto" w:fill="FFFFFF"/>
        </w:rPr>
      </w:pPr>
    </w:p>
    <w:p w14:paraId="66473BA1" w14:textId="40D4C43C" w:rsidR="00C53208" w:rsidRPr="00D87D73" w:rsidRDefault="00876846" w:rsidP="00BB1A13">
      <w:pPr>
        <w:jc w:val="both"/>
        <w:rPr>
          <w:b/>
          <w:bCs/>
          <w:shd w:val="clear" w:color="auto" w:fill="FFFFFF"/>
        </w:rPr>
      </w:pPr>
      <w:r w:rsidRPr="00D87D73">
        <w:rPr>
          <w:b/>
          <w:bCs/>
          <w:shd w:val="clear" w:color="auto" w:fill="FFFFFF"/>
        </w:rPr>
        <w:t>SODDISTAZIONE E OCCUPABILITA’ DEI LAUREATI</w:t>
      </w:r>
    </w:p>
    <w:p w14:paraId="02C558CC" w14:textId="32042488" w:rsidR="002E606F" w:rsidRPr="00E165FB" w:rsidRDefault="002E606F" w:rsidP="002E606F">
      <w:pPr>
        <w:autoSpaceDE w:val="0"/>
        <w:autoSpaceDN w:val="0"/>
        <w:adjustRightInd w:val="0"/>
        <w:jc w:val="both"/>
        <w:rPr>
          <w:shd w:val="clear" w:color="auto" w:fill="FFFFFF"/>
        </w:rPr>
      </w:pPr>
      <w:r>
        <w:t xml:space="preserve">I giudizi sull'esperienza universitaria restano molto positivi. Tra i laureati 2025, il 45,8% si dichiara decisamente soddisfatto del Corso di Laurea Magistrale e il 51,4% più soddisfatto che insoddisfatto; complessivamente il 97,2% esprime quindi un giudizio positivo. Coerentemente, l'indicatore ANVUR </w:t>
      </w:r>
      <w:r>
        <w:rPr>
          <w:b/>
        </w:rPr>
        <w:t>iC25</w:t>
      </w:r>
      <w:r>
        <w:t xml:space="preserve"> è pari al 97,2% nel 2025/26, in aumento rispetto al 95,5% del 2024/25 e al 90,1% del 2023/24 e superiore ai benchmark 2025/26 della stessa area geografica (93,5%) e nazionale (92,4%).</w:t>
      </w:r>
    </w:p>
    <w:p w14:paraId="67EC42FA" w14:textId="2E581AB6" w:rsidR="002E606F" w:rsidRPr="00E165FB" w:rsidRDefault="004E4123" w:rsidP="002E606F">
      <w:pPr>
        <w:shd w:val="clear" w:color="auto" w:fill="FFFFFF"/>
        <w:jc w:val="both"/>
        <w:textAlignment w:val="baseline"/>
      </w:pPr>
      <w:r>
        <w:t>La percentuale di laureati che si iscriverebbero nuovamente allo stesso Corso di Laurea Magistrale dello stesso Ateneo (</w:t>
      </w:r>
      <w:r>
        <w:rPr>
          <w:b/>
        </w:rPr>
        <w:t>iC18</w:t>
      </w:r>
      <w:r>
        <w:t>) sale all'83,3% nel 2025, rispetto al 78,8% nel 2024 e al 76,9% nel 2023. Nel 2025 il 6,9% sceglierebbe lo stesso corso magistrale in un altro Ateneo, il 5,6% un altro corso magistrale dello stesso Ateneo e il 2,8% un altro corso magistrale in un altro Ateneo.</w:t>
      </w:r>
    </w:p>
    <w:p w14:paraId="369F0DE1" w14:textId="77777777" w:rsidR="00230BC4" w:rsidRPr="00DE07AD" w:rsidRDefault="00230BC4" w:rsidP="002E606F">
      <w:pPr>
        <w:shd w:val="clear" w:color="auto" w:fill="FFFFFF"/>
        <w:jc w:val="both"/>
        <w:textAlignment w:val="baseline"/>
      </w:pPr>
    </w:p>
    <w:p w14:paraId="1142524B" w14:textId="56EA070B" w:rsidR="00230BC4" w:rsidRPr="00DE07AD" w:rsidRDefault="00230BC4" w:rsidP="00230BC4">
      <w:pPr>
        <w:autoSpaceDE w:val="0"/>
        <w:autoSpaceDN w:val="0"/>
        <w:adjustRightInd w:val="0"/>
        <w:jc w:val="both"/>
      </w:pPr>
      <w:proofErr w:type="spellStart"/>
      <w:proofErr w:type="spellEnd"/>
      <w:r>
        <w:t xml:space="preserve">Per l'indicatore di efficacia della laurea nel lavoro svolto, i dati allegati relativi al </w:t>
      </w:r>
      <w:r>
        <w:rPr>
          <w:b/>
        </w:rPr>
        <w:t>Piano Integrato 2026-2028</w:t>
      </w:r>
      <w:r>
        <w:t xml:space="preserve"> mostrano per Ingegneria Gestionale nel 2025 il 50,0% di giudizi 'molto efficace/efficace' e il 42,3% di giudizi 'abbastanza efficace'. Il valore dell'indicatore </w:t>
      </w:r>
      <w:r>
        <w:rPr>
          <w:b/>
        </w:rPr>
        <w:t>D.1.02.03</w:t>
      </w:r>
      <w:r>
        <w:t>, dato dalla somma delle due componenti, è quindi pari al 92,3% (98,4% nel 2024 e 98,3% nel 2023). Il dato resta molto elevato, pur evidenziando una flessione nell'ultima rilevazione.</w:t>
      </w:r>
    </w:p>
    <w:p w14:paraId="0F871B22" w14:textId="70992EA7" w:rsidR="00CD2024" w:rsidRPr="00CD2024" w:rsidRDefault="00CD2024" w:rsidP="00CD2024">
      <w:pPr>
        <w:jc w:val="both"/>
      </w:pPr>
      <w:r>
        <w:t>Passando ai dati ANVUR sull'occupabilità, la percentuale dei laureati magistrali occupati a un anno dalla laurea che dichiarano di svolgere un'attività lavorativa o di formazione retribuita (</w:t>
      </w:r>
      <w:r>
        <w:rPr>
          <w:b/>
        </w:rPr>
        <w:t>iC26</w:t>
      </w:r>
      <w:r>
        <w:t>) è pari al 92,3% nel 2023/24, all'89,9% nel 2024/25 e al 94,4% nel 2025/26. La media del triennio è 92,2%, superiore sia alla media della stessa area geografica (91,7%) sia a quella nazionale (91,9%).</w:t>
      </w:r>
    </w:p>
    <w:p w14:paraId="4D28ABA4" w14:textId="1F60E745" w:rsidR="00CD2024" w:rsidRPr="00CD2024" w:rsidRDefault="00CD2024" w:rsidP="00CD2024">
      <w:pPr>
        <w:jc w:val="both"/>
      </w:pPr>
      <w:r>
        <w:t xml:space="preserve">L'indicatore </w:t>
      </w:r>
      <w:r>
        <w:rPr>
          <w:b/>
        </w:rPr>
        <w:t>iC26BIS</w:t>
      </w:r>
      <w:r>
        <w:t xml:space="preserve">, riferito ai laureati occupati a un anno con attività regolamentata da contratto o formazione retribuita, presenta gli stessi valori del </w:t>
      </w:r>
      <w:r>
        <w:rPr>
          <w:b/>
        </w:rPr>
        <w:t>CdS</w:t>
      </w:r>
      <w:r>
        <w:t xml:space="preserve"> nell'ultimo triennio: 92,3% nel 2023/24, 89,9% nel 2024/25 e 94,4% nel 2025/26. Il dato 2025/26 è superiore sia alla media della stessa area geografica (91,3%) sia a quella nazionale (90,3%).</w:t>
      </w:r>
    </w:p>
    <w:p w14:paraId="2C4D7FAE" w14:textId="719081B5" w:rsidR="00CD2024" w:rsidRPr="00CD2024" w:rsidRDefault="00CD2024" w:rsidP="00CD2024">
      <w:pPr>
        <w:jc w:val="both"/>
      </w:pPr>
      <w:r>
        <w:t xml:space="preserve">Anche l'indicatore </w:t>
      </w:r>
      <w:r>
        <w:rPr>
          <w:b/>
        </w:rPr>
        <w:t>iC26TER</w:t>
      </w:r>
      <w:r>
        <w:t xml:space="preserve"> conferma livelli molto elevati: 92,3% nel 2023/24, 91,2% nel 2024/25 e 94,4% nel 2025/26. L'ultima rilevazione supera i benchmark della stessa area geografica (92,8%) e nazionale (90,8%).</w:t>
      </w:r>
    </w:p>
    <w:p w14:paraId="34280C88" w14:textId="6698BFF3" w:rsidR="00CD2024" w:rsidRPr="00CD2024" w:rsidRDefault="00CD2024" w:rsidP="00CD2024">
      <w:pPr>
        <w:jc w:val="both"/>
      </w:pPr>
      <w:r>
        <w:t>Ottima anche la percentuale di laureati occupati a tre anni dalla laurea che dichiarano di svolgere un'attività lavorativa o di formazione retribuita (</w:t>
      </w:r>
      <w:r>
        <w:rPr>
          <w:b/>
        </w:rPr>
        <w:t>iC07</w:t>
      </w:r>
      <w:r>
        <w:t xml:space="preserve">): 95,5% nel 2023/24, 100% nel 2024/25 e 100% nel 2025/26. La media del triennio è pari al 98,5%, superiore ai corrispondenti valori medi della stessa area geografica e nazionali. I dati </w:t>
      </w:r>
      <w:r>
        <w:rPr>
          <w:b/>
        </w:rPr>
        <w:t>AlmaLaurea</w:t>
      </w:r>
      <w:r>
        <w:t xml:space="preserve"> disponibili nel 2026 confermano un tasso di occupazione del 96,3% a un anno per i laureati 2024 e del 100% a tre anni per i laureati 2022.</w:t>
      </w:r>
    </w:p>
    <w:p w14:paraId="7F757A78" w14:textId="77777777" w:rsidR="00CD2024" w:rsidRPr="00CD2024" w:rsidRDefault="00CD2024" w:rsidP="00CD2024">
      <w:pPr>
        <w:jc w:val="both"/>
      </w:pPr>
      <w:r>
        <w:t xml:space="preserve">Gli indicatori </w:t>
      </w:r>
      <w:r>
        <w:rPr>
          <w:b/>
        </w:rPr>
        <w:t>iC07BIS</w:t>
      </w:r>
      <w:r>
        <w:t xml:space="preserve"> e </w:t>
      </w:r>
      <w:r>
        <w:rPr>
          <w:b/>
        </w:rPr>
        <w:t>iC07TER</w:t>
      </w:r>
      <w:r>
        <w:t xml:space="preserve"> sono anch'essi pari al 100% nel 2024/25 e nel 2025/26, confermando la solidità degli esiti occupazionali del Corso.</w:t>
      </w:r>
    </w:p>
    <w:p w14:paraId="0FE12393" w14:textId="77777777" w:rsidR="001A29B3" w:rsidRDefault="001A29B3" w:rsidP="00BB1A13">
      <w:pPr>
        <w:jc w:val="both"/>
      </w:pPr>
      <w:r>
        <w:t xml:space="preserve">Nel complesso, i dati occupazionali si mantengono su livelli eccellenti, con tempi di ingresso nel mercato del lavoro molto contenuti: secondo </w:t>
      </w:r>
      <w:r>
        <w:rPr>
          <w:b/>
        </w:rPr>
        <w:t>AlmaLaurea</w:t>
      </w:r>
      <w:r>
        <w:t>, per i laureati 2024 il tempo medio dalla laurea al reperimento del primo lavoro è di 1,3 mesi.</w:t>
      </w:r>
    </w:p>
    <w:p w14:paraId="30B72C3F" w14:textId="11CD667A" w:rsidR="003F1DCC" w:rsidRPr="00D87D73" w:rsidRDefault="007F4373" w:rsidP="00BB1A13">
      <w:pPr>
        <w:jc w:val="both"/>
      </w:pPr>
      <w:r w:rsidRPr="00D87D73">
        <w:t xml:space="preserve"> </w:t>
      </w:r>
    </w:p>
    <w:p w14:paraId="7E0EBD1D" w14:textId="1BA43F45" w:rsidR="00C53208" w:rsidRPr="00D87D73" w:rsidRDefault="00C53208" w:rsidP="00BB1A13">
      <w:pPr>
        <w:jc w:val="both"/>
        <w:rPr>
          <w:b/>
          <w:bCs/>
        </w:rPr>
      </w:pPr>
      <w:r w:rsidRPr="00D87D73">
        <w:rPr>
          <w:b/>
          <w:bCs/>
        </w:rPr>
        <w:t>QUALIFICAZIONE DEL CORPO DOCENTE</w:t>
      </w:r>
      <w:r w:rsidR="00876846" w:rsidRPr="00D87D73">
        <w:rPr>
          <w:b/>
          <w:bCs/>
        </w:rPr>
        <w:t xml:space="preserve"> E SOSTENIBILITA’</w:t>
      </w:r>
    </w:p>
    <w:p w14:paraId="03C27D20" w14:textId="34742888" w:rsidR="00420ABC" w:rsidRPr="00420ABC" w:rsidRDefault="00420ABC" w:rsidP="00420ABC">
      <w:pPr>
        <w:jc w:val="both"/>
      </w:pPr>
      <w:proofErr w:type="spellStart"/>
      <w:proofErr w:type="spellEnd"/>
      <w:r>
        <w:t>Nel triennio 2023/24 – 2025/26, il rapporto studenti regolari/docenti di ruolo (</w:t>
      </w:r>
      <w:r>
        <w:rPr>
          <w:b/>
        </w:rPr>
        <w:t>iC05</w:t>
      </w:r>
      <w:r>
        <w:t>) è pari a 3,0, 3,3 e 4,5. L'aumento dell'ultimo anno riflette la forte crescita degli iscritti, ma il valore resta nettamente inferiore ai benchmark 2025/26 della stessa area geografica (7,2) e nazionale (11,1).</w:t>
      </w:r>
    </w:p>
    <w:p w14:paraId="5746E70D" w14:textId="46F41C4F" w:rsidR="00420ABC" w:rsidRPr="00420ABC" w:rsidRDefault="00420ABC" w:rsidP="00420ABC">
      <w:pPr>
        <w:jc w:val="both"/>
      </w:pPr>
      <w:r>
        <w:t>La percentuale dei docenti di riferimento appartenenti a settori scientifico-disciplinari di base o caratterizzanti (</w:t>
      </w:r>
      <w:r>
        <w:rPr>
          <w:b/>
        </w:rPr>
        <w:t>iC08</w:t>
      </w:r>
      <w:r>
        <w:t>) è pari al 71,4% nel 2023/24, 77,3% nel 2024/25 e 76,2% nel 2025/26. Il dato più recente è superiore alla media della stessa area geografica (71,3%) e sostanzialmente in linea con quella nazionale (77,7%).</w:t>
      </w:r>
    </w:p>
    <w:p w14:paraId="561AC0ED" w14:textId="460895BF" w:rsidR="00420ABC" w:rsidRPr="00420ABC" w:rsidRDefault="00420ABC" w:rsidP="00420ABC">
      <w:pPr>
        <w:jc w:val="both"/>
      </w:pPr>
      <w:r>
        <w:t>L'indicatore di qualità della ricerca dei docenti (</w:t>
      </w:r>
      <w:r>
        <w:rPr>
          <w:b/>
        </w:rPr>
        <w:t>iC09</w:t>
      </w:r>
      <w:r>
        <w:t>) rimane stabile a 0,9 nelle ultime rilevazioni disponibili (2021/22 – 2023/24), superiore alla soglia di riferimento pari a 0,8 e di poco inferiore ai valori medi della stessa area geografica e nazionali, pari a 1,0.</w:t>
      </w:r>
    </w:p>
    <w:p w14:paraId="5B6830D1" w14:textId="755C9EB3" w:rsidR="00420ABC" w:rsidRPr="00420ABC" w:rsidRDefault="00420ABC" w:rsidP="00420ABC">
      <w:pPr>
        <w:jc w:val="both"/>
      </w:pPr>
      <w:r>
        <w:t>La percentuale delle ore di docenza erogate da docenti assunti a tempo indeterminato (</w:t>
      </w:r>
      <w:r>
        <w:rPr>
          <w:b/>
        </w:rPr>
        <w:t>iC19</w:t>
      </w:r>
      <w:r>
        <w:t>) è pari al 76,5% nel 2023/24, 72,6% nel 2024/25 e 74,0% nel 2025/26. La media triennale (74,4%) è superiore a quella della stessa area geografica (69,9%) e prossima a quella nazionale (72,2%).</w:t>
      </w:r>
    </w:p>
    <w:p w14:paraId="4725B145" w14:textId="01A16A0B" w:rsidR="00420ABC" w:rsidRPr="00420ABC" w:rsidRDefault="00420ABC" w:rsidP="00420ABC">
      <w:pPr>
        <w:jc w:val="both"/>
      </w:pPr>
      <w:r>
        <w:t>La percentuale di studenti che proseguono la carriera universitaria al secondo anno (</w:t>
      </w:r>
      <w:r>
        <w:rPr>
          <w:b/>
        </w:rPr>
        <w:t>iC21</w:t>
      </w:r>
      <w:r>
        <w:t>) resta molto elevata: 97,1% nel 2022/23, 97,2% nel 2023/24 e 97,4% nel 2024/25. La media del triennio (97,2%) è sostanzialmente allineata ai valori degli altri Atenei della stessa area geografica e nazionali.</w:t>
      </w:r>
    </w:p>
    <w:p w14:paraId="500E14F3" w14:textId="77777777" w:rsidR="00420ABC" w:rsidRDefault="00420ABC" w:rsidP="004401E1">
      <w:pPr>
        <w:jc w:val="both"/>
        <w:rPr>
          <w:shd w:val="clear" w:color="auto" w:fill="FFFFFF"/>
        </w:rPr>
      </w:pPr>
    </w:p>
    <w:p w14:paraId="64A58547" w14:textId="65B8C76A" w:rsidR="004401E1" w:rsidRPr="00D10FF1" w:rsidRDefault="004401E1" w:rsidP="004401E1">
      <w:pPr>
        <w:jc w:val="both"/>
        <w:rPr>
          <w:shd w:val="clear" w:color="auto" w:fill="FFFFFF"/>
        </w:rPr>
      </w:pPr>
      <w:proofErr w:type="spellStart"/>
      <w:proofErr w:type="spellEnd"/>
      <w:proofErr w:type="spellStart"/>
      <w:proofErr w:type="spellEnd"/>
      <w:r>
        <w:t xml:space="preserve">La percentuale degli immatricolati che si laureano nel </w:t>
      </w:r>
      <w:r>
        <w:rPr>
          <w:b/>
        </w:rPr>
        <w:t>CdS</w:t>
      </w:r>
      <w:r>
        <w:t xml:space="preserve"> entro la durata normale del corso (</w:t>
      </w:r>
      <w:r>
        <w:rPr>
          <w:b/>
        </w:rPr>
        <w:t>iC22</w:t>
      </w:r>
      <w:r>
        <w:t>) è pari al 59,3% nel 2022/23, 40,0% nel 2023/24 e 66,2% nel 2024/25. Il dato più recente mostra quindi un forte recupero e si avvicina alla media della stessa area geografica (68,1%) e a quella nazionale (69,0%).</w:t>
      </w:r>
    </w:p>
    <w:p w14:paraId="7AD9760F" w14:textId="0E3D2517" w:rsidR="00166DCD" w:rsidRPr="006573A3" w:rsidRDefault="00606610" w:rsidP="004401E1">
      <w:pPr>
        <w:jc w:val="both"/>
        <w:rPr>
          <w:shd w:val="clear" w:color="auto" w:fill="FFFFFF"/>
        </w:rPr>
      </w:pPr>
      <w:proofErr w:type="spellStart"/>
      <w:proofErr w:type="spellEnd"/>
      <w:r>
        <w:t xml:space="preserve">La percentuale di immatricolati che proseguono la carriera al secondo anno in un differente </w:t>
      </w:r>
      <w:r>
        <w:rPr>
          <w:b/>
        </w:rPr>
        <w:t>CdS</w:t>
      </w:r>
      <w:r>
        <w:t xml:space="preserve"> dell'Ateneo (</w:t>
      </w:r>
      <w:r>
        <w:rPr>
          <w:b/>
        </w:rPr>
        <w:t>iC23</w:t>
      </w:r>
      <w:r>
        <w:t>) è pari allo 0% nel 2022/23 e nel 2023/24 e all'1,3% nel 2024/25. Il dato resta contenuto, pur risultando nell'ultimo anno superiore ai valori medi della stessa area geografica e nazionali, entrambi prossimi allo 0,2%.</w:t>
      </w:r>
    </w:p>
    <w:p w14:paraId="56C5CD90" w14:textId="3AA57E43" w:rsidR="00606610" w:rsidRPr="006573A3" w:rsidRDefault="00606610" w:rsidP="004401E1">
      <w:pPr>
        <w:jc w:val="both"/>
        <w:rPr>
          <w:shd w:val="clear" w:color="auto" w:fill="FFFFFF"/>
        </w:rPr>
      </w:pPr>
      <w:proofErr w:type="spellStart"/>
      <w:proofErr w:type="spellEnd"/>
      <w:r>
        <w:t xml:space="preserve">La percentuale di abbandoni del </w:t>
      </w:r>
      <w:r>
        <w:rPr>
          <w:b/>
        </w:rPr>
        <w:t>CdS</w:t>
      </w:r>
      <w:r>
        <w:t xml:space="preserve"> dopo N+1 anni (</w:t>
      </w:r>
      <w:r>
        <w:rPr>
          <w:b/>
        </w:rPr>
        <w:t>iC24</w:t>
      </w:r>
      <w:r>
        <w:t>) è pari all'8,0% nel 2022/23, 3,5% nel 2023/24 e 5,7% nel 2024/25. La media del triennio è 5,7%, superiore alle corrispondenti medie della stessa area geografica e nazionali; l'indicatore va quindi mantenuto sotto osservazione.</w:t>
      </w:r>
    </w:p>
    <w:p w14:paraId="45372892" w14:textId="5E4A8B81" w:rsidR="00C53208" w:rsidRPr="00BA3E60" w:rsidRDefault="00C53208" w:rsidP="00BB1A13">
      <w:pPr>
        <w:jc w:val="both"/>
      </w:pPr>
      <w:proofErr w:type="spellStart"/>
      <w:proofErr w:type="spellEnd"/>
      <w:r>
        <w:t>Il rapporto studenti iscritti/docenti complessivo, pesato per le ore di docenza (</w:t>
      </w:r>
      <w:r>
        <w:rPr>
          <w:b/>
        </w:rPr>
        <w:t>iC27</w:t>
      </w:r>
      <w:r>
        <w:t>), è pari a 6,2 nel 2023/24, 6,3 nel 2024/25 e 6,6 nel 2025/26. Nonostante la crescita degli iscritti, il valore rimane molto favorevole rispetto ai benchmark 2025/26 della stessa area geografica (15,5) e nazionale (23,7).</w:t>
      </w:r>
    </w:p>
    <w:p w14:paraId="701C44C0" w14:textId="024E5981" w:rsidR="00C53208" w:rsidRPr="00BA3E60" w:rsidRDefault="00C53208" w:rsidP="00BB1A13">
      <w:pPr>
        <w:jc w:val="both"/>
      </w:pPr>
      <w:proofErr w:type="spellStart"/>
      <w:proofErr w:type="spellEnd"/>
      <w:r>
        <w:t>Il rapporto studenti iscritti al primo anno/docenti degli insegnamenti del primo anno, pesato per le ore di docenza (</w:t>
      </w:r>
      <w:r>
        <w:rPr>
          <w:b/>
        </w:rPr>
        <w:t>iC28</w:t>
      </w:r>
      <w:r>
        <w:t>), passa da 4,9 nel 2023/24 a 4,7 nel 2024/25 e a 6,8 nel 2025/26. Anche in questo caso l'aumento è coerente con la forte crescita degli ingressi, ma il valore resta ampiamente inferiore ai benchmark della stessa area geografica (12,4) e nazionali (20,4).</w:t>
      </w:r>
    </w:p>
    <w:p w14:paraId="492483E0" w14:textId="77777777" w:rsidR="00C53208" w:rsidRPr="00211AF1" w:rsidRDefault="00C53208" w:rsidP="00BB1A13">
      <w:pPr>
        <w:jc w:val="both"/>
        <w:rPr>
          <w:color w:val="333333"/>
          <w:highlight w:val="yellow"/>
          <w:shd w:val="clear" w:color="auto" w:fill="FFFFFF"/>
        </w:rPr>
      </w:pPr>
    </w:p>
    <w:p w14:paraId="7EEAE180" w14:textId="420AD75C" w:rsidR="0008439A" w:rsidRPr="00157AAE" w:rsidRDefault="005423D5" w:rsidP="00BB1A13">
      <w:pPr>
        <w:autoSpaceDE w:val="0"/>
        <w:autoSpaceDN w:val="0"/>
        <w:adjustRightInd w:val="0"/>
        <w:jc w:val="both"/>
        <w:rPr>
          <w:b/>
          <w:bCs/>
        </w:rPr>
      </w:pPr>
      <w:r w:rsidRPr="00157AAE">
        <w:rPr>
          <w:b/>
          <w:bCs/>
        </w:rPr>
        <w:t>GRUPPO B – INDICATORI INTERNAZIONALIZZAZIONE (DM987/2017 e DM6/2019, ALLEGATO E)</w:t>
      </w:r>
    </w:p>
    <w:p w14:paraId="2B78FB73" w14:textId="29D8E118" w:rsidR="00D47451" w:rsidRPr="00211AF1" w:rsidRDefault="00154B7D" w:rsidP="003A75E7">
      <w:pPr>
        <w:autoSpaceDE w:val="0"/>
        <w:autoSpaceDN w:val="0"/>
        <w:adjustRightInd w:val="0"/>
        <w:jc w:val="both"/>
        <w:rPr>
          <w:highlight w:val="yellow"/>
          <w:shd w:val="clear" w:color="auto" w:fill="FFFFFF"/>
        </w:rPr>
      </w:pPr>
      <w:proofErr w:type="spellStart"/>
      <w:proofErr w:type="spellEnd"/>
      <w:proofErr w:type="spellStart"/>
      <w:proofErr w:type="spellEnd"/>
      <w:r>
        <w:t>Nel triennio 2022/23 – 2024/25, la percentuale di CFU conseguiti all'estero dagli studenti regolari sul totale dei CFU conseguiti dagli studenti entro la durata normale del corso (</w:t>
      </w:r>
      <w:r>
        <w:rPr>
          <w:b/>
        </w:rPr>
        <w:t>iC10</w:t>
      </w:r>
      <w:r>
        <w:t xml:space="preserve">) cresce dal 16,9‰ al 47,3‰ e al 54,9‰. La media del triennio (39,7‰) è leggermente superiore a quella degli Atenei della stessa area geografica (38,0‰), ma inferiore alla media nazionale (64,9‰). La tendenza è confermata dai dati </w:t>
      </w:r>
      <w:r>
        <w:rPr>
          <w:b/>
        </w:rPr>
        <w:t>AlmaLaurea</w:t>
      </w:r>
      <w:r>
        <w:t xml:space="preserve">: tra i laureati 2025, il 23,6% dichiara di aver svolto periodi di studio all'estero durante il biennio magistrale e il 22,2% esperienze riconosciute dal </w:t>
      </w:r>
      <w:r>
        <w:rPr>
          <w:b/>
        </w:rPr>
        <w:t>CdS</w:t>
      </w:r>
      <w:r>
        <w:t xml:space="preserve">. Anche </w:t>
      </w:r>
      <w:r>
        <w:rPr>
          <w:b/>
        </w:rPr>
        <w:t>iC11</w:t>
      </w:r>
      <w:r>
        <w:t xml:space="preserve">, relativo ai laureati in corso con almeno 12 CFU acquisiti all'estero, migliora fortemente: 7,8% nel 2023/24, 15,1% nel 2024/25 e 28,8% nel 2025/26; nell'ultima rilevazione il </w:t>
      </w:r>
      <w:r>
        <w:rPr>
          <w:b/>
        </w:rPr>
        <w:t>CdS</w:t>
      </w:r>
      <w:r>
        <w:t xml:space="preserve"> supera sia la media della stessa area geografica (17,8%) sia quella nazionale (27,8%).</w:t>
      </w:r>
    </w:p>
    <w:p w14:paraId="04C0475D" w14:textId="1921AB61" w:rsidR="00C21808" w:rsidRPr="00A62D7A" w:rsidRDefault="00C21808" w:rsidP="00C21808">
      <w:pPr>
        <w:autoSpaceDE w:val="0"/>
        <w:autoSpaceDN w:val="0"/>
        <w:adjustRightInd w:val="0"/>
        <w:jc w:val="both"/>
        <w:rPr>
          <w:shd w:val="clear" w:color="auto" w:fill="FFFFFF"/>
        </w:rPr>
      </w:pPr>
      <w:proofErr w:type="spellStart"/>
      <w:proofErr w:type="spellEnd"/>
      <w:proofErr w:type="spellStart"/>
      <w:proofErr w:type="spellEnd"/>
      <w:r>
        <w:t>Un cambiamento particolarmente rilevante riguarda l'internazionalizzazione in ingresso (</w:t>
      </w:r>
      <w:r>
        <w:rPr>
          <w:b/>
        </w:rPr>
        <w:t>iC12</w:t>
      </w:r>
      <w:r>
        <w:t xml:space="preserve">): dopo valori nulli fino al 2024/25, nel 2025/26 il 43,5% degli iscritti al primo anno ha conseguito il precedente titolo di studio all'estero (60 studenti su 138). Il valore è molto superiore alla media della stessa area geografica (10,9%) e a quella nazionale (8,8%). Il dato è coerente con la composizione degli immatricolati 2025/26 rilevata dall'Ateneo e segnala un deciso rafforzamento dell'attrattività internazionale del </w:t>
      </w:r>
      <w:r>
        <w:rPr>
          <w:b/>
        </w:rPr>
        <w:t>CdLM</w:t>
      </w:r>
      <w:r>
        <w:t>.</w:t>
      </w:r>
    </w:p>
    <w:p w14:paraId="5B533ED8" w14:textId="77777777" w:rsidR="00430203" w:rsidRPr="00211AF1" w:rsidRDefault="00430203" w:rsidP="00BB1A13">
      <w:pPr>
        <w:jc w:val="both"/>
        <w:rPr>
          <w:highlight w:val="yellow"/>
        </w:rPr>
      </w:pPr>
    </w:p>
    <w:p w14:paraId="239EDD08" w14:textId="045DE4A5" w:rsidR="00430203" w:rsidRPr="00E11653" w:rsidRDefault="00BD362E" w:rsidP="00BB1A13">
      <w:pPr>
        <w:jc w:val="both"/>
        <w:rPr>
          <w:b/>
          <w:bCs/>
        </w:rPr>
      </w:pPr>
      <w:r w:rsidRPr="00E11653">
        <w:rPr>
          <w:b/>
          <w:bCs/>
        </w:rPr>
        <w:t>CONCLUSIONI</w:t>
      </w:r>
    </w:p>
    <w:p w14:paraId="680DAF60" w14:textId="467701C7" w:rsidR="006B6CC4" w:rsidRPr="00E11653" w:rsidRDefault="00430203" w:rsidP="00BB1A13">
      <w:pPr>
        <w:jc w:val="both"/>
      </w:pPr>
      <w:r>
        <w:t xml:space="preserve">In conclusione, la Scheda 2026 evidenzia un netto rafforzamento dell'attrattività del Corso, con una crescita molto marcata degli ingressi e, soprattutto, dell'attrattività verso laureati di altri Atenei e studenti con precedente titolo conseguito all'estero. Gli indicatori di percorso restano complessivamente buoni o molto buoni, pur richiedendo attenzione alla quota di abbandoni e all'indicatore </w:t>
      </w:r>
      <w:r>
        <w:rPr>
          <w:b/>
        </w:rPr>
        <w:t>iC17</w:t>
      </w:r>
      <w:r>
        <w:t>. La soddisfazione dei laureati è molto elevata e gli indicatori occupazionali si confermano eccellenti. Gli indicatori relativi alla qualificazione e alla sostenibilità del corpo docente restano favorevoli anche a fronte dell'aumento degli iscritti. L'internazionalizzazione mostra un miglioramento molto consistente sia nella mobilità in uscita sia, soprattutto, nella capacità di attrarre studenti con formazione precedente all'estero.</w:t>
      </w:r>
    </w:p>
    <w:p w14:paraId="14EEB293" w14:textId="77777777" w:rsidR="0042766A" w:rsidRPr="00211AF1" w:rsidRDefault="0042766A" w:rsidP="00BB1A13">
      <w:pPr>
        <w:jc w:val="both"/>
        <w:rPr>
          <w:highlight w:val="yellow"/>
        </w:rPr>
      </w:pPr>
    </w:p>
    <w:p w14:paraId="692346BE" w14:textId="77777777" w:rsidR="008A4023" w:rsidRPr="00211AF1" w:rsidRDefault="008A4023" w:rsidP="00BB1A13">
      <w:pPr>
        <w:jc w:val="both"/>
        <w:rPr>
          <w:highlight w:val="yellow"/>
        </w:rPr>
      </w:pPr>
    </w:p>
    <w:p w14:paraId="2DF54C60" w14:textId="70E07B8B" w:rsidR="006B6CC4" w:rsidRPr="00A62D7A" w:rsidRDefault="006B6CC4" w:rsidP="00BB1A13">
      <w:pPr>
        <w:jc w:val="both"/>
        <w:rPr>
          <w:b/>
          <w:bCs/>
        </w:rPr>
      </w:pPr>
      <w:r w:rsidRPr="00A62D7A">
        <w:rPr>
          <w:b/>
          <w:bCs/>
        </w:rPr>
        <w:t xml:space="preserve">MONITORAGGIO </w:t>
      </w:r>
      <w:r w:rsidR="001C07A2" w:rsidRPr="00A62D7A">
        <w:rPr>
          <w:b/>
          <w:bCs/>
        </w:rPr>
        <w:t>DELLE INIZIATIVE DI MIGLIORAMENTO PRECEDENTI E VALUTAZIONE DI NUOVE INIZIATIVE</w:t>
      </w:r>
    </w:p>
    <w:p w14:paraId="0293247B" w14:textId="77777777" w:rsidR="0042766A" w:rsidRPr="00A62D7A" w:rsidRDefault="0042766A" w:rsidP="00BB1A13">
      <w:pPr>
        <w:jc w:val="both"/>
      </w:pPr>
    </w:p>
    <w:p w14:paraId="644A1E47" w14:textId="17DAAA80" w:rsidR="005F2C58" w:rsidRPr="00CC442E" w:rsidRDefault="00BD05BB" w:rsidP="00BB1A13">
      <w:pPr>
        <w:jc w:val="both"/>
        <w:rPr>
          <w:b/>
          <w:color w:val="000000"/>
        </w:rPr>
      </w:pPr>
      <w:r>
        <w:rPr>
          <w:b/>
        </w:rPr>
        <w:t>Obiettivo n.1 (Obiettivo n.1 SMA 2025)</w:t>
      </w:r>
    </w:p>
    <w:p w14:paraId="0A78637C" w14:textId="77777777" w:rsidR="00BD05BB" w:rsidRPr="00CC442E" w:rsidRDefault="00BD05BB" w:rsidP="00BB1A13">
      <w:pPr>
        <w:jc w:val="both"/>
        <w:rPr>
          <w:color w:val="000000"/>
        </w:rPr>
      </w:pPr>
      <w:proofErr w:type="spellStart"/>
      <w:proofErr w:type="spellEnd"/>
      <w:r>
        <w:t xml:space="preserve">Migliorare la mobilità internazionale degli studenti del </w:t>
      </w:r>
      <w:r>
        <w:rPr>
          <w:b/>
        </w:rPr>
        <w:t>CdLM</w:t>
      </w:r>
      <w:r>
        <w:t xml:space="preserve"> (indicatori </w:t>
      </w:r>
      <w:r>
        <w:rPr>
          <w:b/>
        </w:rPr>
        <w:t>iC10</w:t>
      </w:r>
      <w:r>
        <w:t xml:space="preserve"> e </w:t>
      </w:r>
      <w:r>
        <w:rPr>
          <w:b/>
        </w:rPr>
        <w:t>iC11</w:t>
      </w:r>
      <w:r>
        <w:t>).</w:t>
      </w:r>
    </w:p>
    <w:p w14:paraId="478D4FC8" w14:textId="1CC05475" w:rsidR="00A760F6" w:rsidRPr="00CC442E" w:rsidRDefault="00A760F6" w:rsidP="00BB1A13">
      <w:pPr>
        <w:jc w:val="both"/>
        <w:rPr>
          <w:b/>
          <w:color w:val="000000"/>
        </w:rPr>
      </w:pPr>
      <w:r>
        <w:rPr>
          <w:b/>
        </w:rPr>
        <w:t>Azioni di miglioramento intraprese:</w:t>
      </w:r>
    </w:p>
    <w:p w14:paraId="52332203" w14:textId="755BE7AC" w:rsidR="00913DDF" w:rsidRPr="00CC442E" w:rsidRDefault="00913DDF" w:rsidP="00BB1A13">
      <w:pPr>
        <w:jc w:val="both"/>
        <w:rPr>
          <w:bCs/>
          <w:color w:val="000000"/>
        </w:rPr>
      </w:pPr>
      <w:r>
        <w:t>Mantenimento del punto bonus al voto di laurea per gli studenti che conseguono almeno 12 CFU all’estero, aggiornamento del database degli esami già riconosciuti e prosecuzione delle azioni di semplificazione del riconoscimento delle attività svolte all’estero.</w:t>
      </w:r>
    </w:p>
    <w:p w14:paraId="484B1D5C" w14:textId="77777777" w:rsidR="00BE460A" w:rsidRPr="00CC442E" w:rsidRDefault="00BE460A" w:rsidP="00BB1A13">
      <w:pPr>
        <w:jc w:val="both"/>
        <w:rPr>
          <w:b/>
          <w:color w:val="000000"/>
        </w:rPr>
      </w:pPr>
      <w:r>
        <w:t xml:space="preserve">Stato di avanzamento: molto positivo. Gli indicatori di mobilità internazionale mostrano una crescita significativa: </w:t>
      </w:r>
      <w:r>
        <w:rPr>
          <w:b/>
        </w:rPr>
        <w:t>iC10</w:t>
      </w:r>
      <w:r>
        <w:t xml:space="preserve"> passa dal 16,9‰ del 2022/23 al 54,9‰ del 2024/25, mentre </w:t>
      </w:r>
      <w:r>
        <w:rPr>
          <w:b/>
        </w:rPr>
        <w:t>iC11</w:t>
      </w:r>
      <w:r>
        <w:t xml:space="preserve"> raggiunge il 28,8% nel 2025/26. Tra i laureati 2025, il 22,2% dichiara periodi di studio all’estero riconosciuti dal </w:t>
      </w:r>
      <w:r>
        <w:rPr>
          <w:b/>
        </w:rPr>
        <w:t>CdS</w:t>
      </w:r>
      <w:r>
        <w:t>.</w:t>
      </w:r>
    </w:p>
    <w:p w14:paraId="414AA42B" w14:textId="77777777" w:rsidR="00BE460A" w:rsidRPr="00CC442E" w:rsidRDefault="00BE460A" w:rsidP="00BB1A13">
      <w:pPr>
        <w:jc w:val="both"/>
        <w:rPr>
          <w:b/>
        </w:rPr>
      </w:pPr>
      <w:r>
        <w:t>Efficacia delle azioni intraprese: le evidenze disponibili indicano un miglioramento netto e coerente con l’obiettivo. Le azioni vengono pertanto confermate, mantenendo il monitoraggio dei CFU acquisiti all’estero e della partecipazione ai programmi di mobilità.</w:t>
      </w:r>
    </w:p>
    <w:p w14:paraId="096FFDDA" w14:textId="77777777" w:rsidR="00BE460A" w:rsidRPr="00CC442E" w:rsidRDefault="00BE460A" w:rsidP="00BB1A13">
      <w:pPr>
        <w:jc w:val="both"/>
        <w:rPr>
          <w:b/>
          <w:color w:val="000000"/>
        </w:rPr>
      </w:pPr>
      <w:r>
        <w:rPr>
          <w:b/>
        </w:rPr>
        <w:t>Azioni di miglioramento da intraprendere:</w:t>
      </w:r>
    </w:p>
    <w:p w14:paraId="286A51B7" w14:textId="31A717C3" w:rsidR="00677786" w:rsidRPr="00CC442E" w:rsidRDefault="00677786" w:rsidP="00BB1A13">
      <w:pPr>
        <w:jc w:val="both"/>
        <w:rPr>
          <w:color w:val="000000"/>
        </w:rPr>
      </w:pP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r>
        <w:t xml:space="preserve">Il </w:t>
      </w:r>
      <w:r>
        <w:rPr>
          <w:b/>
        </w:rPr>
        <w:t>CdS</w:t>
      </w:r>
      <w:r>
        <w:t xml:space="preserve"> intende consolidare le azioni già intraprese. In particolare: 1) mantenere il requisito di almeno 12 CFU maturati all'estero per l'attribuzione del punto bonus sul voto di laurea; 2) mantenere aggiornato il database degli esami sostenuti all'estero e riconosciuti negli anni precedenti; 3) proseguire nella semplificazione delle procedure e dei criteri di riconoscimento, con particolare attenzione agli insegnamenti a scelta; 4) mantenere aggiornata la sezione informativa per gli studenti Erasmus in entrata e in uscita sul sito del </w:t>
      </w:r>
      <w:r>
        <w:rPr>
          <w:b/>
        </w:rPr>
        <w:t>CdS</w:t>
      </w:r>
      <w:r>
        <w:t>; 5) monitorare separatamente la mobilità internazionale in uscita e la crescente internazionalizzazione in ingresso.</w:t>
      </w:r>
    </w:p>
    <w:p w14:paraId="04F4FD22" w14:textId="77777777" w:rsidR="00A760F6" w:rsidRPr="00CC442E" w:rsidRDefault="00A760F6" w:rsidP="00BB1A13">
      <w:pPr>
        <w:jc w:val="both"/>
        <w:rPr>
          <w:b/>
          <w:color w:val="000000"/>
        </w:rPr>
      </w:pPr>
      <w:r>
        <w:rPr>
          <w:b/>
        </w:rPr>
        <w:t>Modalità e risorse:</w:t>
      </w:r>
    </w:p>
    <w:p w14:paraId="459FC191" w14:textId="3F4A8420" w:rsidR="00A760F6" w:rsidRPr="00CC442E" w:rsidRDefault="00473A47" w:rsidP="00BB1A13">
      <w:pPr>
        <w:jc w:val="both"/>
        <w:rPr>
          <w:color w:val="000000"/>
        </w:rPr>
      </w:pPr>
      <w:r>
        <w:t xml:space="preserve">Monitoraggio annuale degli indicatori </w:t>
      </w:r>
      <w:r>
        <w:rPr>
          <w:b/>
        </w:rPr>
        <w:t>iC10</w:t>
      </w:r>
      <w:r>
        <w:t xml:space="preserve"> e </w:t>
      </w:r>
      <w:r>
        <w:rPr>
          <w:b/>
        </w:rPr>
        <w:t>iC11</w:t>
      </w:r>
      <w:r>
        <w:t xml:space="preserve"> e dei dati </w:t>
      </w:r>
      <w:r>
        <w:rPr>
          <w:b/>
        </w:rPr>
        <w:t>AlmaLaurea</w:t>
      </w:r>
      <w:r>
        <w:t xml:space="preserve"> relativi alle esperienze di studio all'estero. Qualora emergano nuove criticità, potranno essere nuovamente somministrati questionari agli studenti per individuare ulteriori azioni di miglioramento.</w:t>
      </w:r>
    </w:p>
    <w:p w14:paraId="1CD1A4B4" w14:textId="77777777" w:rsidR="00A760F6" w:rsidRPr="00CC442E" w:rsidRDefault="00A760F6" w:rsidP="00BB1A13">
      <w:pPr>
        <w:jc w:val="both"/>
        <w:rPr>
          <w:b/>
          <w:color w:val="000000"/>
        </w:rPr>
      </w:pPr>
      <w:r>
        <w:rPr>
          <w:b/>
        </w:rPr>
        <w:t>Scadenze previste e indicatori che misurino lo stato di avanzamento:</w:t>
      </w:r>
    </w:p>
    <w:p w14:paraId="31A85CBE" w14:textId="46C613CF" w:rsidR="00A760F6" w:rsidRPr="00CC442E" w:rsidRDefault="00473A47" w:rsidP="00BB1A13">
      <w:pPr>
        <w:jc w:val="both"/>
        <w:rPr>
          <w:color w:val="000000"/>
        </w:rPr>
      </w:pPr>
      <w:r>
        <w:t>Scadenza: fine del prossimo anno accademico.</w:t>
      </w:r>
    </w:p>
    <w:p w14:paraId="22FAA637" w14:textId="77777777" w:rsidR="00A760F6" w:rsidRPr="00CC442E" w:rsidRDefault="00A760F6" w:rsidP="00BB1A13">
      <w:pPr>
        <w:jc w:val="both"/>
        <w:rPr>
          <w:color w:val="000000"/>
        </w:rPr>
      </w:pPr>
      <w:r>
        <w:t xml:space="preserve">Indicatore: </w:t>
      </w:r>
      <w:r>
        <w:rPr>
          <w:b/>
        </w:rPr>
        <w:t>iC10</w:t>
      </w:r>
      <w:r>
        <w:t xml:space="preserve">, </w:t>
      </w:r>
      <w:r>
        <w:rPr>
          <w:b/>
        </w:rPr>
        <w:t>iC11</w:t>
      </w:r>
      <w:r>
        <w:t>, numero di CFU conseguiti all’estero e quota di laureati con esperienza internazionale riconosciuta.</w:t>
      </w:r>
    </w:p>
    <w:p w14:paraId="04C74082" w14:textId="77777777" w:rsidR="00A760F6" w:rsidRPr="00CC442E" w:rsidRDefault="00A760F6" w:rsidP="00BB1A13">
      <w:pPr>
        <w:jc w:val="both"/>
        <w:rPr>
          <w:b/>
          <w:color w:val="000000"/>
        </w:rPr>
      </w:pPr>
      <w:r>
        <w:rPr>
          <w:b/>
        </w:rPr>
        <w:t>Responsabilità:</w:t>
      </w:r>
    </w:p>
    <w:p w14:paraId="7F57B654" w14:textId="5E407638" w:rsidR="00705A35" w:rsidRPr="00CC442E" w:rsidRDefault="00AC0720" w:rsidP="00BB1A13">
      <w:pPr>
        <w:jc w:val="both"/>
        <w:rPr>
          <w:color w:val="000000"/>
        </w:rPr>
      </w:pPr>
      <w:r>
        <w:t>Gruppo del Riesame Ciclico.</w:t>
      </w:r>
    </w:p>
    <w:p w14:paraId="493C3980" w14:textId="77777777" w:rsidR="000D01F9" w:rsidRPr="00211AF1" w:rsidRDefault="000D01F9" w:rsidP="00BB1A13">
      <w:pPr>
        <w:jc w:val="both"/>
        <w:rPr>
          <w:rFonts w:eastAsia="Arial"/>
          <w:color w:val="000000"/>
          <w:highlight w:val="yellow"/>
        </w:rPr>
      </w:pPr>
    </w:p>
    <w:p w14:paraId="7F9A1478" w14:textId="77777777" w:rsidR="006B6CC4" w:rsidRPr="00211AF1" w:rsidRDefault="006B6CC4" w:rsidP="00BB1A13">
      <w:pPr>
        <w:jc w:val="both"/>
        <w:rPr>
          <w:b/>
          <w:bCs/>
          <w:highlight w:val="yellow"/>
          <w:shd w:val="clear" w:color="auto" w:fill="FFFFFF"/>
        </w:rPr>
      </w:pPr>
    </w:p>
    <w:p w14:paraId="55103335" w14:textId="2B83EEF7" w:rsidR="006B6CC4" w:rsidRPr="001627EA" w:rsidRDefault="006B6CC4" w:rsidP="00BB1A13">
      <w:pPr>
        <w:jc w:val="both"/>
        <w:rPr>
          <w:b/>
          <w:bCs/>
          <w:shd w:val="clear" w:color="auto" w:fill="FFFFFF"/>
        </w:rPr>
      </w:pPr>
      <w:r>
        <w:rPr>
          <w:b/>
        </w:rPr>
        <w:t>Obiettivo n.2 (Obiettivo n.2 SMA 2025)</w:t>
      </w:r>
    </w:p>
    <w:p w14:paraId="605EF2DC" w14:textId="77777777" w:rsidR="00687006" w:rsidRPr="001627EA" w:rsidRDefault="00687006" w:rsidP="00687006">
      <w:pPr>
        <w:pStyle w:val="paragraph"/>
        <w:spacing w:before="0" w:beforeAutospacing="0" w:after="0" w:afterAutospacing="0"/>
        <w:jc w:val="both"/>
        <w:textAlignment w:val="baseline"/>
      </w:pPr>
      <w:proofErr w:type="spellStart"/>
      <w:proofErr w:type="spellEnd"/>
      <w:r>
        <w:t xml:space="preserve">Sviluppare la conoscenza del Sistema di Assicurazione Qualità del </w:t>
      </w:r>
      <w:r>
        <w:rPr>
          <w:b/>
        </w:rPr>
        <w:t>CdS</w:t>
      </w:r>
      <w:r>
        <w:t xml:space="preserve"> da parte di studenti e docenti.</w:t>
      </w:r>
    </w:p>
    <w:p w14:paraId="3597C7FA" w14:textId="77777777" w:rsidR="00687006" w:rsidRPr="001627EA" w:rsidRDefault="00687006" w:rsidP="00687006">
      <w:pPr>
        <w:pStyle w:val="paragraph"/>
        <w:spacing w:before="0" w:beforeAutospacing="0" w:after="0" w:afterAutospacing="0"/>
        <w:jc w:val="both"/>
        <w:textAlignment w:val="baseline"/>
      </w:pPr>
      <w:r>
        <w:rPr>
          <w:b/>
        </w:rPr>
        <w:t>Azioni di miglioramento intraprese:</w:t>
      </w:r>
    </w:p>
    <w:p w14:paraId="1ADF846F" w14:textId="681D4388" w:rsidR="00687006" w:rsidRPr="001627EA" w:rsidRDefault="003910A3" w:rsidP="00687006">
      <w:pPr>
        <w:pStyle w:val="paragraph"/>
        <w:spacing w:before="0" w:beforeAutospacing="0" w:after="0" w:afterAutospacing="0"/>
        <w:jc w:val="both"/>
        <w:textAlignment w:val="baseline"/>
      </w:pPr>
      <w:r>
        <w:t>Continua comunicazione tra il Coordinatore, il Gruppo del Riesame Ciclico, i docenti e gli studenti.</w:t>
      </w:r>
    </w:p>
    <w:p w14:paraId="0BE85C29" w14:textId="77777777" w:rsidR="00687006" w:rsidRPr="001627EA" w:rsidRDefault="00687006" w:rsidP="00687006">
      <w:pPr>
        <w:pStyle w:val="paragraph"/>
        <w:spacing w:before="0" w:beforeAutospacing="0" w:after="0" w:afterAutospacing="0"/>
        <w:jc w:val="both"/>
        <w:textAlignment w:val="baseline"/>
      </w:pPr>
      <w:r>
        <w:rPr>
          <w:b/>
        </w:rPr>
        <w:t>Stato di avanzamento:</w:t>
      </w:r>
    </w:p>
    <w:p w14:paraId="6C244F75" w14:textId="1785AA94" w:rsidR="00687006" w:rsidRPr="001627EA" w:rsidRDefault="00687006" w:rsidP="00687006">
      <w:pPr>
        <w:pStyle w:val="paragraph"/>
        <w:spacing w:before="0" w:beforeAutospacing="0" w:after="0" w:afterAutospacing="0"/>
        <w:jc w:val="both"/>
        <w:textAlignment w:val="baseline"/>
      </w:pPr>
      <w:r>
        <w:t xml:space="preserve">Le attività di informazione e confronto sono proseguite periodicamente nell’ambito degli organi del </w:t>
      </w:r>
      <w:r>
        <w:rPr>
          <w:b/>
        </w:rPr>
        <w:t>CdS</w:t>
      </w:r>
      <w:r>
        <w:t xml:space="preserve"> e dei momenti di interlocuzione con studenti e docenti.</w:t>
      </w:r>
    </w:p>
    <w:p w14:paraId="48092F0B" w14:textId="77777777" w:rsidR="00687006" w:rsidRPr="001627EA" w:rsidRDefault="00687006" w:rsidP="00687006">
      <w:pPr>
        <w:pStyle w:val="paragraph"/>
        <w:spacing w:before="0" w:beforeAutospacing="0" w:after="0" w:afterAutospacing="0"/>
        <w:jc w:val="both"/>
        <w:textAlignment w:val="baseline"/>
      </w:pPr>
      <w:r>
        <w:rPr>
          <w:b/>
        </w:rPr>
        <w:t>Efficacia delle azioni intraprese:</w:t>
      </w:r>
    </w:p>
    <w:p w14:paraId="235E966F" w14:textId="57737F5F" w:rsidR="00687006" w:rsidRPr="001627EA" w:rsidRDefault="00F25E5F" w:rsidP="00687006">
      <w:pPr>
        <w:pStyle w:val="paragraph"/>
        <w:spacing w:before="0" w:beforeAutospacing="0" w:after="0" w:afterAutospacing="0"/>
        <w:jc w:val="both"/>
        <w:textAlignment w:val="baseline"/>
      </w:pPr>
      <w:proofErr w:type="spellStart"/>
      <w:proofErr w:type="spellEnd"/>
      <w:r>
        <w:t xml:space="preserve">Le evidenze qualitative raccolte nel </w:t>
      </w:r>
      <w:r>
        <w:rPr>
          <w:b/>
        </w:rPr>
        <w:t>CdS</w:t>
      </w:r>
      <w:r>
        <w:t xml:space="preserve"> confermano la necessità di mantenere costante la comunicazione sul Sistema di Assicurazione della Qualità e sulle modalità con cui studenti e docenti possono contribuire al miglioramento continuo delle attività didattiche.</w:t>
      </w:r>
    </w:p>
    <w:p w14:paraId="7EBDE734" w14:textId="77777777" w:rsidR="00687006" w:rsidRPr="001627EA" w:rsidRDefault="00687006" w:rsidP="00687006">
      <w:pPr>
        <w:pStyle w:val="paragraph"/>
        <w:spacing w:before="0" w:beforeAutospacing="0" w:after="0" w:afterAutospacing="0"/>
        <w:jc w:val="both"/>
        <w:textAlignment w:val="baseline"/>
      </w:pPr>
      <w:r>
        <w:rPr>
          <w:b/>
        </w:rPr>
        <w:t>Azioni da intraprendere:</w:t>
      </w:r>
    </w:p>
    <w:p w14:paraId="565BAFA6" w14:textId="77777777" w:rsidR="00687006" w:rsidRPr="001627EA" w:rsidRDefault="00687006" w:rsidP="00687006">
      <w:pPr>
        <w:jc w:val="both"/>
      </w:pPr>
      <w:proofErr w:type="spellStart"/>
      <w:proofErr w:type="spellEnd"/>
      <w:r>
        <w:t xml:space="preserve">Continuare ad organizzare incontri con gli studenti dei diversi anni per presentare le attività del Sistema di Assicurazione della Qualità del </w:t>
      </w:r>
      <w:r>
        <w:rPr>
          <w:b/>
        </w:rPr>
        <w:t>CdS</w:t>
      </w:r>
      <w:r>
        <w:t>.</w:t>
      </w:r>
    </w:p>
    <w:p w14:paraId="166E5397" w14:textId="0F357DB2" w:rsidR="00687006" w:rsidRPr="001627EA" w:rsidRDefault="00687006" w:rsidP="00687006">
      <w:pPr>
        <w:jc w:val="both"/>
      </w:pPr>
      <w:proofErr w:type="spellStart"/>
      <w:proofErr w:type="spellEnd"/>
      <w:proofErr w:type="spellStart"/>
      <w:proofErr w:type="spellEnd"/>
      <w:r>
        <w:t xml:space="preserve">Continuare ad organizzare incontri con i docenti del </w:t>
      </w:r>
      <w:r>
        <w:rPr>
          <w:b/>
        </w:rPr>
        <w:t>CdS</w:t>
      </w:r>
      <w:r>
        <w:t xml:space="preserve"> per presentare le attività del Sistema di Assicurazione della Qualità del </w:t>
      </w:r>
      <w:r>
        <w:rPr>
          <w:b/>
        </w:rPr>
        <w:t>CdS</w:t>
      </w:r>
      <w:r>
        <w:t>.</w:t>
      </w:r>
    </w:p>
    <w:p w14:paraId="21898AFE" w14:textId="77777777" w:rsidR="00687006" w:rsidRPr="001627EA" w:rsidRDefault="00687006" w:rsidP="00687006">
      <w:pPr>
        <w:pStyle w:val="paragraph"/>
        <w:spacing w:before="0" w:beforeAutospacing="0" w:after="0" w:afterAutospacing="0"/>
        <w:jc w:val="both"/>
        <w:textAlignment w:val="baseline"/>
      </w:pPr>
      <w:r>
        <w:rPr>
          <w:b/>
        </w:rPr>
        <w:t>Modalità e risorse:</w:t>
      </w:r>
    </w:p>
    <w:p w14:paraId="34A60286" w14:textId="77777777" w:rsidR="00687006" w:rsidRPr="001627EA" w:rsidRDefault="00687006" w:rsidP="00687006">
      <w:pPr>
        <w:jc w:val="both"/>
      </w:pPr>
      <w:r>
        <w:t>Per ogni anno del corso di studio saranno programmati incontri di informazione e sensibilizzazione con gli studenti, da collocarsi in prossimità o durante l'orario di lezione in modo da garantire un'ampia partecipazione.</w:t>
      </w:r>
    </w:p>
    <w:p w14:paraId="5FBB96C2" w14:textId="3678CD1A" w:rsidR="00687006" w:rsidRPr="001627EA" w:rsidRDefault="00687006" w:rsidP="00687006">
      <w:pPr>
        <w:jc w:val="both"/>
      </w:pPr>
      <w:proofErr w:type="spellStart"/>
      <w:proofErr w:type="spellEnd"/>
      <w:r>
        <w:t xml:space="preserve">In occasione degli incontri con i docenti del </w:t>
      </w:r>
      <w:r>
        <w:rPr>
          <w:b/>
        </w:rPr>
        <w:t>CdS</w:t>
      </w:r>
      <w:r>
        <w:t xml:space="preserve"> si continueranno a presentare le attività svolte e gli esiti del monitoraggio relativi al Sistema di Assicurazione della Qualità.</w:t>
      </w:r>
    </w:p>
    <w:p w14:paraId="3A9386A4" w14:textId="77777777" w:rsidR="00687006" w:rsidRPr="001627EA" w:rsidRDefault="00687006" w:rsidP="00687006">
      <w:pPr>
        <w:pStyle w:val="paragraph"/>
        <w:spacing w:before="0" w:beforeAutospacing="0" w:after="0" w:afterAutospacing="0"/>
        <w:jc w:val="both"/>
        <w:textAlignment w:val="baseline"/>
      </w:pPr>
      <w:r>
        <w:rPr>
          <w:b/>
        </w:rPr>
        <w:t>Responsabilità:</w:t>
      </w:r>
    </w:p>
    <w:p w14:paraId="3B5F7545" w14:textId="6F75EACD" w:rsidR="006B6CC4" w:rsidRPr="001627EA" w:rsidRDefault="00687006" w:rsidP="00D10E8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proofErr w:type="spellStart"/>
      <w:proofErr w:type="spellEnd"/>
      <w:r>
        <w:t xml:space="preserve">Coordinatore </w:t>
      </w:r>
      <w:r>
        <w:rPr>
          <w:b/>
        </w:rPr>
        <w:t>CdS</w:t>
      </w:r>
      <w:r>
        <w:t>.</w:t>
      </w:r>
    </w:p>
    <w:p w14:paraId="4A507D21" w14:textId="77777777" w:rsidR="005F010D" w:rsidRPr="00211AF1" w:rsidRDefault="005F010D" w:rsidP="00D10E8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ajorBidi" w:hAnsiTheme="majorBidi" w:cstheme="majorBidi"/>
          <w:highlight w:val="yellow"/>
        </w:rPr>
      </w:pPr>
    </w:p>
    <w:p w14:paraId="79519A05" w14:textId="53A4E21C" w:rsidR="005F010D" w:rsidRPr="0050066C" w:rsidRDefault="005F010D" w:rsidP="00FE391E">
      <w:pPr>
        <w:jc w:val="both"/>
        <w:rPr>
          <w:b/>
          <w:bCs/>
          <w:shd w:val="clear" w:color="auto" w:fill="FFFFFF"/>
        </w:rPr>
      </w:pPr>
      <w:r>
        <w:rPr>
          <w:b/>
        </w:rPr>
        <w:t>Obiettivo n.3 (Obiettivo n.3 SMA 2025)</w:t>
      </w:r>
    </w:p>
    <w:p w14:paraId="4A8E9E76" w14:textId="77777777" w:rsidR="005F010D" w:rsidRPr="0050066C" w:rsidRDefault="005F010D" w:rsidP="005F010D">
      <w:pPr>
        <w:pStyle w:val="paragraph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</w:rPr>
      </w:pPr>
      <w:r>
        <w:t>Aumentare l’attrattività del corso.</w:t>
      </w:r>
    </w:p>
    <w:p w14:paraId="5C61FD64" w14:textId="77777777" w:rsidR="005F010D" w:rsidRPr="0050066C" w:rsidRDefault="005F010D" w:rsidP="005F010D">
      <w:pPr>
        <w:pStyle w:val="paragraph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</w:rPr>
      </w:pPr>
      <w:r>
        <w:rPr>
          <w:b/>
        </w:rPr>
        <w:t>Azioni di miglioramento intraprese:</w:t>
      </w:r>
    </w:p>
    <w:p w14:paraId="3642CE14" w14:textId="34FEFF12" w:rsidR="005F010D" w:rsidRPr="0050066C" w:rsidRDefault="008A4023" w:rsidP="005F010D">
      <w:pPr>
        <w:pStyle w:val="paragraph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</w:rPr>
      </w:pPr>
      <w:r>
        <w:t>Creare e consolidare momenti conoscitivi del Corso di Laurea Magistrale e delle sue potenzialità, anche in chiave internazionale.</w:t>
      </w:r>
    </w:p>
    <w:p w14:paraId="3BE8AC8F" w14:textId="77777777" w:rsidR="005F010D" w:rsidRPr="0050066C" w:rsidRDefault="005F010D" w:rsidP="005F010D">
      <w:pPr>
        <w:pStyle w:val="paragraph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</w:rPr>
      </w:pPr>
      <w:r>
        <w:rPr>
          <w:b/>
        </w:rPr>
        <w:t>Stato di avanzamento:</w:t>
      </w:r>
    </w:p>
    <w:p w14:paraId="6830B4E0" w14:textId="3EDB7542" w:rsidR="005F010D" w:rsidRPr="0050066C" w:rsidRDefault="008A4023" w:rsidP="005F010D">
      <w:pPr>
        <w:pStyle w:val="paragraph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</w:rPr>
      </w:pPr>
      <w:r>
        <w:t xml:space="preserve">L’obiettivo mostra un avanzamento molto significativo. Gli avvii di carriera al primo anno sono passati da 79 nel 2024/25 a 138 nel 2025/26; gli iscritti per la prima volta a una LM da 76 a 136. Contestualmente, </w:t>
      </w:r>
      <w:r>
        <w:rPr>
          <w:b/>
        </w:rPr>
        <w:t>iC04</w:t>
      </w:r>
      <w:r>
        <w:t xml:space="preserve"> raggiunge il 47,8% e </w:t>
      </w:r>
      <w:r>
        <w:rPr>
          <w:b/>
        </w:rPr>
        <w:t>iC12</w:t>
      </w:r>
      <w:r>
        <w:t xml:space="preserve"> il 43,5%, segnalando una forte crescita dell’attrattività extra-Ateneo e internazionale.</w:t>
      </w:r>
    </w:p>
    <w:p w14:paraId="2F97E7CB" w14:textId="77777777" w:rsidR="005F010D" w:rsidRPr="0050066C" w:rsidRDefault="005F010D" w:rsidP="005F010D">
      <w:pPr>
        <w:pStyle w:val="paragraph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</w:rPr>
      </w:pPr>
      <w:r>
        <w:rPr>
          <w:b/>
        </w:rPr>
        <w:t>Efficacia delle azioni:</w:t>
      </w:r>
    </w:p>
    <w:p w14:paraId="71A4183B" w14:textId="0D4ADF9E" w:rsidR="005F010D" w:rsidRPr="0050066C" w:rsidRDefault="008A4023" w:rsidP="005F010D">
      <w:pPr>
        <w:pStyle w:val="paragraph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</w:rPr>
      </w:pPr>
      <w:r>
        <w:t>Le azioni risultano efficaci rispetto all’obiettivo quantitativo di incremento dell’attrattività. La crescita coincide con l’avvio e il consolidamento dell’offerta in lingua inglese e con un forte aumento della componente internazionale; sarà necessario monitorarne anche gli effetti sulla sostenibilità didattica e sulla regolarità delle carriere.</w:t>
      </w:r>
    </w:p>
    <w:p w14:paraId="3F428632" w14:textId="77777777" w:rsidR="005F010D" w:rsidRPr="0050066C" w:rsidRDefault="005F010D" w:rsidP="005F010D">
      <w:pPr>
        <w:pStyle w:val="paragraph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</w:rPr>
      </w:pPr>
      <w:r>
        <w:rPr>
          <w:b/>
        </w:rPr>
        <w:t>Azioni da intraprendere nell’anno futuro:</w:t>
      </w:r>
    </w:p>
    <w:p w14:paraId="76230241" w14:textId="5AD105A7" w:rsidR="005F010D" w:rsidRPr="0050066C" w:rsidRDefault="008A4023" w:rsidP="005F010D">
      <w:pPr>
        <w:pStyle w:val="paragraph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</w:rPr>
      </w:pPr>
      <w:proofErr w:type="spellStart"/>
      <w:proofErr w:type="spellEnd"/>
      <w:r>
        <w:t xml:space="preserve">Consolidare le azioni di orientamento e promozione del Corso, con particolare attenzione alla nuova componente internazionale. Parallelamente, il </w:t>
      </w:r>
      <w:r>
        <w:rPr>
          <w:b/>
        </w:rPr>
        <w:t>CdS</w:t>
      </w:r>
      <w:r>
        <w:t xml:space="preserve"> valuterà l’assetto complessivo dei curricula e degli indirizzi, anche alla luce della domanda effettiva, assicurando che la crescita degli ingressi sia accompagnata da adeguata sostenibilità didattica, servizi di accoglienza e supporto agli studenti internazionali.</w:t>
      </w:r>
    </w:p>
    <w:p w14:paraId="381A6C81" w14:textId="77777777" w:rsidR="005F010D" w:rsidRPr="0050066C" w:rsidRDefault="005F010D" w:rsidP="005F010D">
      <w:pPr>
        <w:pStyle w:val="paragraph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</w:rPr>
      </w:pPr>
      <w:r>
        <w:rPr>
          <w:b/>
        </w:rPr>
        <w:t>Modalità e risorse:</w:t>
      </w:r>
    </w:p>
    <w:p w14:paraId="68C15220" w14:textId="4EF51E9E" w:rsidR="005F010D" w:rsidRPr="0050066C" w:rsidRDefault="000519B1" w:rsidP="005F010D">
      <w:pPr>
        <w:pStyle w:val="paragraph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</w:rPr>
      </w:pPr>
      <w:proofErr w:type="spellStart"/>
      <w:proofErr w:type="spellEnd"/>
      <w:r>
        <w:t xml:space="preserve">Riunioni periodiche previste dal </w:t>
      </w:r>
      <w:r>
        <w:rPr>
          <w:b/>
        </w:rPr>
        <w:t>CdS</w:t>
      </w:r>
      <w:r>
        <w:t xml:space="preserve"> con coinvolgimento di tutti i docenti e delle parti sociali.</w:t>
      </w:r>
    </w:p>
    <w:p w14:paraId="5B78777B" w14:textId="77777777" w:rsidR="005F010D" w:rsidRPr="0050066C" w:rsidRDefault="005F010D" w:rsidP="005F010D">
      <w:pPr>
        <w:pStyle w:val="paragraph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</w:rPr>
      </w:pPr>
      <w:r>
        <w:rPr>
          <w:b/>
        </w:rPr>
        <w:t>Scadenze previste e indicatori che misurino lo stato di avanzamento:</w:t>
      </w:r>
    </w:p>
    <w:p w14:paraId="378C8C11" w14:textId="77777777" w:rsidR="005F010D" w:rsidRPr="0050066C" w:rsidRDefault="005F010D" w:rsidP="005F010D">
      <w:pPr>
        <w:pStyle w:val="paragraph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</w:rPr>
      </w:pPr>
      <w:r>
        <w:t>Scadenza: annuale.</w:t>
      </w:r>
    </w:p>
    <w:p w14:paraId="25E62E9C" w14:textId="3291682F" w:rsidR="005F010D" w:rsidRPr="0050066C" w:rsidRDefault="005F010D" w:rsidP="005F010D">
      <w:pPr>
        <w:pStyle w:val="paragraph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</w:rPr>
      </w:pPr>
      <w:r>
        <w:t xml:space="preserve">Indicatore: numero di avvii di carriera e di iscritti per la prima volta alla LM; </w:t>
      </w:r>
      <w:r>
        <w:rPr>
          <w:b/>
        </w:rPr>
        <w:t>iC04</w:t>
      </w:r>
      <w:r>
        <w:t xml:space="preserve">; </w:t>
      </w:r>
      <w:r>
        <w:rPr>
          <w:b/>
        </w:rPr>
        <w:t>iC12</w:t>
      </w:r>
      <w:r>
        <w:t>; provenienza geografica e internazionale degli immatricolati; iscritti agli anni successivi.</w:t>
      </w:r>
    </w:p>
    <w:p w14:paraId="0A96E6A0" w14:textId="77777777" w:rsidR="005F010D" w:rsidRPr="0050066C" w:rsidRDefault="005F010D" w:rsidP="005F010D">
      <w:pPr>
        <w:pStyle w:val="paragraph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</w:rPr>
      </w:pPr>
      <w:r>
        <w:rPr>
          <w:b/>
        </w:rPr>
        <w:t>Responsabilità:</w:t>
      </w:r>
    </w:p>
    <w:p w14:paraId="5A1A3455" w14:textId="274181A6" w:rsidR="005F010D" w:rsidRPr="00A428A1" w:rsidRDefault="005F010D" w:rsidP="005F010D">
      <w:pPr>
        <w:pStyle w:val="paragraph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</w:rPr>
      </w:pPr>
      <w:proofErr w:type="spellStart"/>
      <w:proofErr w:type="spellEnd"/>
      <w:r>
        <w:t xml:space="preserve">Coordinatore </w:t>
      </w:r>
      <w:r>
        <w:rPr>
          <w:b/>
        </w:rPr>
        <w:t>CdS</w:t>
      </w:r>
      <w:r>
        <w:t xml:space="preserve"> e responsabile delle attività di orientamento studenti.</w:t>
      </w:r>
    </w:p>
    <w:p w14:paraId="1FAA7EE2" w14:textId="77777777" w:rsidR="005F010D" w:rsidRDefault="005F010D" w:rsidP="00D10E8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7F0A7E5F" w14:textId="77777777" w:rsidR="005F010D" w:rsidRDefault="005F010D" w:rsidP="00D10E8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7D57EDBF" w14:textId="77777777" w:rsidR="005F010D" w:rsidRPr="00044D30" w:rsidRDefault="005F010D" w:rsidP="00D10E87">
      <w:pPr>
        <w:pStyle w:val="paragraph"/>
        <w:spacing w:before="0" w:beforeAutospacing="0" w:after="0" w:afterAutospacing="0"/>
        <w:jc w:val="both"/>
        <w:textAlignment w:val="baseline"/>
      </w:pPr>
    </w:p>
    <w:sectPr w:rsidR="005F010D" w:rsidRPr="00044D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5E69C" w14:textId="77777777" w:rsidR="004B5707" w:rsidRDefault="004B5707" w:rsidP="00562FC2">
      <w:r>
        <w:separator/>
      </w:r>
    </w:p>
  </w:endnote>
  <w:endnote w:type="continuationSeparator" w:id="0">
    <w:p w14:paraId="16B2714E" w14:textId="77777777" w:rsidR="004B5707" w:rsidRDefault="004B5707" w:rsidP="00562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A9D46" w14:textId="77777777" w:rsidR="004B5707" w:rsidRDefault="004B5707" w:rsidP="00562FC2">
      <w:r>
        <w:separator/>
      </w:r>
    </w:p>
  </w:footnote>
  <w:footnote w:type="continuationSeparator" w:id="0">
    <w:p w14:paraId="67DCED02" w14:textId="77777777" w:rsidR="004B5707" w:rsidRDefault="004B5707" w:rsidP="00562F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CEAD08A"/>
    <w:multiLevelType w:val="hybridMultilevel"/>
    <w:tmpl w:val="B759193C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7494E23"/>
    <w:multiLevelType w:val="hybridMultilevel"/>
    <w:tmpl w:val="F7D7E0CB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B4DE43"/>
    <w:multiLevelType w:val="hybridMultilevel"/>
    <w:tmpl w:val="188D233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B7E19D9"/>
    <w:multiLevelType w:val="hybridMultilevel"/>
    <w:tmpl w:val="AF5604CE"/>
    <w:lvl w:ilvl="0" w:tplc="8A08F5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704B9"/>
    <w:multiLevelType w:val="hybridMultilevel"/>
    <w:tmpl w:val="CA3287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E1706"/>
    <w:multiLevelType w:val="hybridMultilevel"/>
    <w:tmpl w:val="07CA14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95F111"/>
    <w:multiLevelType w:val="hybridMultilevel"/>
    <w:tmpl w:val="E534C51C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8B31E1B"/>
    <w:multiLevelType w:val="hybridMultilevel"/>
    <w:tmpl w:val="02F02C04"/>
    <w:lvl w:ilvl="0" w:tplc="E9CAA4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1158C"/>
    <w:multiLevelType w:val="hybridMultilevel"/>
    <w:tmpl w:val="407848F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46E1F30"/>
    <w:multiLevelType w:val="hybridMultilevel"/>
    <w:tmpl w:val="6502896E"/>
    <w:lvl w:ilvl="0" w:tplc="65C25864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E47FA"/>
    <w:multiLevelType w:val="hybridMultilevel"/>
    <w:tmpl w:val="1214C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D92B5B"/>
    <w:multiLevelType w:val="hybridMultilevel"/>
    <w:tmpl w:val="188E4366"/>
    <w:lvl w:ilvl="0" w:tplc="089EFD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13457">
    <w:abstractNumId w:val="4"/>
  </w:num>
  <w:num w:numId="2" w16cid:durableId="887254740">
    <w:abstractNumId w:val="10"/>
  </w:num>
  <w:num w:numId="3" w16cid:durableId="518858892">
    <w:abstractNumId w:val="5"/>
  </w:num>
  <w:num w:numId="4" w16cid:durableId="1662195786">
    <w:abstractNumId w:val="1"/>
  </w:num>
  <w:num w:numId="5" w16cid:durableId="346833226">
    <w:abstractNumId w:val="6"/>
  </w:num>
  <w:num w:numId="6" w16cid:durableId="758333312">
    <w:abstractNumId w:val="8"/>
  </w:num>
  <w:num w:numId="7" w16cid:durableId="1184175192">
    <w:abstractNumId w:val="2"/>
  </w:num>
  <w:num w:numId="8" w16cid:durableId="562369002">
    <w:abstractNumId w:val="0"/>
  </w:num>
  <w:num w:numId="9" w16cid:durableId="1151992103">
    <w:abstractNumId w:val="11"/>
  </w:num>
  <w:num w:numId="10" w16cid:durableId="1785926298">
    <w:abstractNumId w:val="3"/>
  </w:num>
  <w:num w:numId="11" w16cid:durableId="1338970149">
    <w:abstractNumId w:val="7"/>
  </w:num>
  <w:num w:numId="12" w16cid:durableId="18384999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MxsTQ0MjOxNDcwMjRS0lEKTi0uzszPAykwqwUA5YokhCwAAAA="/>
  </w:docVars>
  <w:rsids>
    <w:rsidRoot w:val="0023355E"/>
    <w:rsid w:val="00001EC2"/>
    <w:rsid w:val="00003905"/>
    <w:rsid w:val="00005B7D"/>
    <w:rsid w:val="00013CBD"/>
    <w:rsid w:val="00013DDC"/>
    <w:rsid w:val="00014130"/>
    <w:rsid w:val="00020BEF"/>
    <w:rsid w:val="00025674"/>
    <w:rsid w:val="00031CD5"/>
    <w:rsid w:val="00032EFD"/>
    <w:rsid w:val="000339F2"/>
    <w:rsid w:val="000344D0"/>
    <w:rsid w:val="000345F6"/>
    <w:rsid w:val="0003525D"/>
    <w:rsid w:val="000366CC"/>
    <w:rsid w:val="0003696C"/>
    <w:rsid w:val="0004189C"/>
    <w:rsid w:val="00041F7A"/>
    <w:rsid w:val="0004255C"/>
    <w:rsid w:val="00044D30"/>
    <w:rsid w:val="0005191E"/>
    <w:rsid w:val="000519B1"/>
    <w:rsid w:val="00053422"/>
    <w:rsid w:val="000568B8"/>
    <w:rsid w:val="0006387C"/>
    <w:rsid w:val="00065F46"/>
    <w:rsid w:val="00071C5C"/>
    <w:rsid w:val="0007228C"/>
    <w:rsid w:val="000729F1"/>
    <w:rsid w:val="0007559D"/>
    <w:rsid w:val="00076295"/>
    <w:rsid w:val="00076CB0"/>
    <w:rsid w:val="00076D7E"/>
    <w:rsid w:val="000806A5"/>
    <w:rsid w:val="00082284"/>
    <w:rsid w:val="00082794"/>
    <w:rsid w:val="0008365E"/>
    <w:rsid w:val="0008439A"/>
    <w:rsid w:val="00085B3A"/>
    <w:rsid w:val="00085D2A"/>
    <w:rsid w:val="000871B1"/>
    <w:rsid w:val="00090DBF"/>
    <w:rsid w:val="00092A78"/>
    <w:rsid w:val="00094524"/>
    <w:rsid w:val="0009574F"/>
    <w:rsid w:val="00096405"/>
    <w:rsid w:val="0009790C"/>
    <w:rsid w:val="000A004A"/>
    <w:rsid w:val="000A0F68"/>
    <w:rsid w:val="000A2436"/>
    <w:rsid w:val="000A60C5"/>
    <w:rsid w:val="000A6859"/>
    <w:rsid w:val="000B03D1"/>
    <w:rsid w:val="000B1269"/>
    <w:rsid w:val="000B2703"/>
    <w:rsid w:val="000B4F51"/>
    <w:rsid w:val="000B5DE2"/>
    <w:rsid w:val="000B7475"/>
    <w:rsid w:val="000C0A0B"/>
    <w:rsid w:val="000C2008"/>
    <w:rsid w:val="000C7DDD"/>
    <w:rsid w:val="000D01F9"/>
    <w:rsid w:val="000D10BD"/>
    <w:rsid w:val="000D1C6B"/>
    <w:rsid w:val="000D53CF"/>
    <w:rsid w:val="000D61C7"/>
    <w:rsid w:val="000E1DFF"/>
    <w:rsid w:val="000E30B6"/>
    <w:rsid w:val="000E44F6"/>
    <w:rsid w:val="000E50C8"/>
    <w:rsid w:val="000E5678"/>
    <w:rsid w:val="000E763D"/>
    <w:rsid w:val="000E7C87"/>
    <w:rsid w:val="000E7DE3"/>
    <w:rsid w:val="000F098D"/>
    <w:rsid w:val="000F2781"/>
    <w:rsid w:val="000F3844"/>
    <w:rsid w:val="00100265"/>
    <w:rsid w:val="0010331B"/>
    <w:rsid w:val="00104ACF"/>
    <w:rsid w:val="00105667"/>
    <w:rsid w:val="00113510"/>
    <w:rsid w:val="001137C1"/>
    <w:rsid w:val="00115A43"/>
    <w:rsid w:val="00116F59"/>
    <w:rsid w:val="001172C1"/>
    <w:rsid w:val="00122FE2"/>
    <w:rsid w:val="0012396D"/>
    <w:rsid w:val="00124BB3"/>
    <w:rsid w:val="00124C20"/>
    <w:rsid w:val="00127D7F"/>
    <w:rsid w:val="00130094"/>
    <w:rsid w:val="00130CC5"/>
    <w:rsid w:val="00132115"/>
    <w:rsid w:val="00133C4E"/>
    <w:rsid w:val="001357F9"/>
    <w:rsid w:val="001372F5"/>
    <w:rsid w:val="00137F73"/>
    <w:rsid w:val="00140361"/>
    <w:rsid w:val="00141789"/>
    <w:rsid w:val="0014619C"/>
    <w:rsid w:val="0014687E"/>
    <w:rsid w:val="00147BBB"/>
    <w:rsid w:val="00150668"/>
    <w:rsid w:val="00151530"/>
    <w:rsid w:val="00153594"/>
    <w:rsid w:val="00153B3C"/>
    <w:rsid w:val="00154B7D"/>
    <w:rsid w:val="00157AAE"/>
    <w:rsid w:val="00160948"/>
    <w:rsid w:val="00160AF5"/>
    <w:rsid w:val="001627EA"/>
    <w:rsid w:val="00164573"/>
    <w:rsid w:val="001645F6"/>
    <w:rsid w:val="00166DCD"/>
    <w:rsid w:val="001678BB"/>
    <w:rsid w:val="00167F4B"/>
    <w:rsid w:val="00171213"/>
    <w:rsid w:val="00174B9F"/>
    <w:rsid w:val="00180072"/>
    <w:rsid w:val="00180163"/>
    <w:rsid w:val="00180AB9"/>
    <w:rsid w:val="00183332"/>
    <w:rsid w:val="0018384E"/>
    <w:rsid w:val="00183BE5"/>
    <w:rsid w:val="00186801"/>
    <w:rsid w:val="00186E62"/>
    <w:rsid w:val="00187786"/>
    <w:rsid w:val="001877C9"/>
    <w:rsid w:val="0019090C"/>
    <w:rsid w:val="00191EE5"/>
    <w:rsid w:val="0019229E"/>
    <w:rsid w:val="00193A2D"/>
    <w:rsid w:val="00195E40"/>
    <w:rsid w:val="00196789"/>
    <w:rsid w:val="001970F0"/>
    <w:rsid w:val="00197170"/>
    <w:rsid w:val="001A0D7A"/>
    <w:rsid w:val="001A11D3"/>
    <w:rsid w:val="001A2966"/>
    <w:rsid w:val="001A29B3"/>
    <w:rsid w:val="001A2E90"/>
    <w:rsid w:val="001A5DEF"/>
    <w:rsid w:val="001B049D"/>
    <w:rsid w:val="001B15F8"/>
    <w:rsid w:val="001B3FC9"/>
    <w:rsid w:val="001B5430"/>
    <w:rsid w:val="001B6496"/>
    <w:rsid w:val="001B7AB8"/>
    <w:rsid w:val="001C07A2"/>
    <w:rsid w:val="001C0D57"/>
    <w:rsid w:val="001C61CF"/>
    <w:rsid w:val="001C6273"/>
    <w:rsid w:val="001D0732"/>
    <w:rsid w:val="001D1714"/>
    <w:rsid w:val="001D2505"/>
    <w:rsid w:val="001D4E8B"/>
    <w:rsid w:val="001D6558"/>
    <w:rsid w:val="001D65DC"/>
    <w:rsid w:val="001D7271"/>
    <w:rsid w:val="001E01A9"/>
    <w:rsid w:val="001E10EE"/>
    <w:rsid w:val="001E3931"/>
    <w:rsid w:val="001E4CC4"/>
    <w:rsid w:val="001E4CF5"/>
    <w:rsid w:val="001F01D9"/>
    <w:rsid w:val="001F1C00"/>
    <w:rsid w:val="001F4100"/>
    <w:rsid w:val="001F4E46"/>
    <w:rsid w:val="001F572B"/>
    <w:rsid w:val="001F7468"/>
    <w:rsid w:val="001F7781"/>
    <w:rsid w:val="001F7B05"/>
    <w:rsid w:val="00201A8C"/>
    <w:rsid w:val="0020293C"/>
    <w:rsid w:val="00203159"/>
    <w:rsid w:val="00204C56"/>
    <w:rsid w:val="00204F17"/>
    <w:rsid w:val="00210F5E"/>
    <w:rsid w:val="00211AF1"/>
    <w:rsid w:val="00212D40"/>
    <w:rsid w:val="002140FD"/>
    <w:rsid w:val="002151C9"/>
    <w:rsid w:val="002241F9"/>
    <w:rsid w:val="00225154"/>
    <w:rsid w:val="00225E67"/>
    <w:rsid w:val="00226C95"/>
    <w:rsid w:val="00227FC1"/>
    <w:rsid w:val="00230375"/>
    <w:rsid w:val="00230BC4"/>
    <w:rsid w:val="002321D1"/>
    <w:rsid w:val="0023355E"/>
    <w:rsid w:val="0023400A"/>
    <w:rsid w:val="002349D4"/>
    <w:rsid w:val="0023712C"/>
    <w:rsid w:val="00243498"/>
    <w:rsid w:val="002441B8"/>
    <w:rsid w:val="00246E9B"/>
    <w:rsid w:val="00252A36"/>
    <w:rsid w:val="00253B08"/>
    <w:rsid w:val="00254DD4"/>
    <w:rsid w:val="002625A0"/>
    <w:rsid w:val="0026690F"/>
    <w:rsid w:val="00275ECF"/>
    <w:rsid w:val="00276502"/>
    <w:rsid w:val="00285BD7"/>
    <w:rsid w:val="00287260"/>
    <w:rsid w:val="0029120E"/>
    <w:rsid w:val="002920B8"/>
    <w:rsid w:val="00295D27"/>
    <w:rsid w:val="00295E77"/>
    <w:rsid w:val="002A5020"/>
    <w:rsid w:val="002A68E7"/>
    <w:rsid w:val="002A7998"/>
    <w:rsid w:val="002B0087"/>
    <w:rsid w:val="002B7C68"/>
    <w:rsid w:val="002C5B1B"/>
    <w:rsid w:val="002C6CD2"/>
    <w:rsid w:val="002D4744"/>
    <w:rsid w:val="002D59B6"/>
    <w:rsid w:val="002E606F"/>
    <w:rsid w:val="002E7A5B"/>
    <w:rsid w:val="002F2723"/>
    <w:rsid w:val="002F3E2F"/>
    <w:rsid w:val="002F44B2"/>
    <w:rsid w:val="002F465D"/>
    <w:rsid w:val="002F7CE9"/>
    <w:rsid w:val="003007DB"/>
    <w:rsid w:val="00304C1B"/>
    <w:rsid w:val="003064AC"/>
    <w:rsid w:val="00306969"/>
    <w:rsid w:val="00307C46"/>
    <w:rsid w:val="00307D72"/>
    <w:rsid w:val="003128EC"/>
    <w:rsid w:val="00313F44"/>
    <w:rsid w:val="003148EB"/>
    <w:rsid w:val="00315559"/>
    <w:rsid w:val="00317A5F"/>
    <w:rsid w:val="00317EEB"/>
    <w:rsid w:val="00320084"/>
    <w:rsid w:val="00322593"/>
    <w:rsid w:val="003225D9"/>
    <w:rsid w:val="003242CD"/>
    <w:rsid w:val="00324617"/>
    <w:rsid w:val="00325AFA"/>
    <w:rsid w:val="00327E1E"/>
    <w:rsid w:val="003307D7"/>
    <w:rsid w:val="00330D55"/>
    <w:rsid w:val="00332977"/>
    <w:rsid w:val="003333E2"/>
    <w:rsid w:val="003335DF"/>
    <w:rsid w:val="00334737"/>
    <w:rsid w:val="003400FB"/>
    <w:rsid w:val="00340988"/>
    <w:rsid w:val="00342093"/>
    <w:rsid w:val="00342203"/>
    <w:rsid w:val="00346816"/>
    <w:rsid w:val="003500AE"/>
    <w:rsid w:val="003512A2"/>
    <w:rsid w:val="00351955"/>
    <w:rsid w:val="003606E3"/>
    <w:rsid w:val="00362CEA"/>
    <w:rsid w:val="00362F71"/>
    <w:rsid w:val="0036368C"/>
    <w:rsid w:val="00371CF6"/>
    <w:rsid w:val="003750B2"/>
    <w:rsid w:val="00375CBA"/>
    <w:rsid w:val="0038000A"/>
    <w:rsid w:val="0038171A"/>
    <w:rsid w:val="003910A3"/>
    <w:rsid w:val="00391F15"/>
    <w:rsid w:val="003929BF"/>
    <w:rsid w:val="0039442A"/>
    <w:rsid w:val="003A099E"/>
    <w:rsid w:val="003A2F84"/>
    <w:rsid w:val="003A75E7"/>
    <w:rsid w:val="003B1DE6"/>
    <w:rsid w:val="003B3113"/>
    <w:rsid w:val="003B3E4A"/>
    <w:rsid w:val="003C1163"/>
    <w:rsid w:val="003C1423"/>
    <w:rsid w:val="003C187A"/>
    <w:rsid w:val="003C1B54"/>
    <w:rsid w:val="003C3B7B"/>
    <w:rsid w:val="003C417A"/>
    <w:rsid w:val="003C4761"/>
    <w:rsid w:val="003C5C20"/>
    <w:rsid w:val="003C6B25"/>
    <w:rsid w:val="003D0BE0"/>
    <w:rsid w:val="003D11AF"/>
    <w:rsid w:val="003E0E1B"/>
    <w:rsid w:val="003E1DA2"/>
    <w:rsid w:val="003E2E53"/>
    <w:rsid w:val="003E3252"/>
    <w:rsid w:val="003E773C"/>
    <w:rsid w:val="003F13A6"/>
    <w:rsid w:val="003F1884"/>
    <w:rsid w:val="003F1DCC"/>
    <w:rsid w:val="003F2A3F"/>
    <w:rsid w:val="003F54D2"/>
    <w:rsid w:val="003F7CB3"/>
    <w:rsid w:val="00401BF1"/>
    <w:rsid w:val="00403C73"/>
    <w:rsid w:val="00405748"/>
    <w:rsid w:val="004069DB"/>
    <w:rsid w:val="00413141"/>
    <w:rsid w:val="00413368"/>
    <w:rsid w:val="004137AC"/>
    <w:rsid w:val="004153B9"/>
    <w:rsid w:val="00420ABC"/>
    <w:rsid w:val="00424FB8"/>
    <w:rsid w:val="00426123"/>
    <w:rsid w:val="0042643C"/>
    <w:rsid w:val="004267B5"/>
    <w:rsid w:val="00427634"/>
    <w:rsid w:val="0042766A"/>
    <w:rsid w:val="00430203"/>
    <w:rsid w:val="00430AF0"/>
    <w:rsid w:val="00431D0A"/>
    <w:rsid w:val="00432769"/>
    <w:rsid w:val="00437035"/>
    <w:rsid w:val="004378F9"/>
    <w:rsid w:val="00440021"/>
    <w:rsid w:val="004401E1"/>
    <w:rsid w:val="00443E47"/>
    <w:rsid w:val="0044411C"/>
    <w:rsid w:val="00446DE9"/>
    <w:rsid w:val="00451D0A"/>
    <w:rsid w:val="004541AB"/>
    <w:rsid w:val="0045496B"/>
    <w:rsid w:val="004613AA"/>
    <w:rsid w:val="00462870"/>
    <w:rsid w:val="00462E41"/>
    <w:rsid w:val="00466403"/>
    <w:rsid w:val="00466965"/>
    <w:rsid w:val="00473A47"/>
    <w:rsid w:val="00473F80"/>
    <w:rsid w:val="00476A03"/>
    <w:rsid w:val="004809EC"/>
    <w:rsid w:val="00484ACE"/>
    <w:rsid w:val="00484E48"/>
    <w:rsid w:val="00485D9B"/>
    <w:rsid w:val="004909CA"/>
    <w:rsid w:val="0049267E"/>
    <w:rsid w:val="004936BE"/>
    <w:rsid w:val="00494561"/>
    <w:rsid w:val="004A5439"/>
    <w:rsid w:val="004A649F"/>
    <w:rsid w:val="004A6CDD"/>
    <w:rsid w:val="004A7883"/>
    <w:rsid w:val="004B1A80"/>
    <w:rsid w:val="004B2298"/>
    <w:rsid w:val="004B2898"/>
    <w:rsid w:val="004B5298"/>
    <w:rsid w:val="004B5707"/>
    <w:rsid w:val="004B6978"/>
    <w:rsid w:val="004B6BB0"/>
    <w:rsid w:val="004B7504"/>
    <w:rsid w:val="004C3281"/>
    <w:rsid w:val="004C600A"/>
    <w:rsid w:val="004C6294"/>
    <w:rsid w:val="004E2723"/>
    <w:rsid w:val="004E4123"/>
    <w:rsid w:val="004E6754"/>
    <w:rsid w:val="004F1BA3"/>
    <w:rsid w:val="004F2C8F"/>
    <w:rsid w:val="004F67CD"/>
    <w:rsid w:val="0050066C"/>
    <w:rsid w:val="00503AE8"/>
    <w:rsid w:val="00507966"/>
    <w:rsid w:val="00511633"/>
    <w:rsid w:val="0051468C"/>
    <w:rsid w:val="00515C73"/>
    <w:rsid w:val="0051638E"/>
    <w:rsid w:val="005200F5"/>
    <w:rsid w:val="00520FC9"/>
    <w:rsid w:val="005232D2"/>
    <w:rsid w:val="00524633"/>
    <w:rsid w:val="00536AFD"/>
    <w:rsid w:val="005373C2"/>
    <w:rsid w:val="00541008"/>
    <w:rsid w:val="005423D5"/>
    <w:rsid w:val="005505DC"/>
    <w:rsid w:val="00550FCE"/>
    <w:rsid w:val="00556ECE"/>
    <w:rsid w:val="00562FC2"/>
    <w:rsid w:val="005674C1"/>
    <w:rsid w:val="00570CE2"/>
    <w:rsid w:val="00580727"/>
    <w:rsid w:val="005815D0"/>
    <w:rsid w:val="00583492"/>
    <w:rsid w:val="00584992"/>
    <w:rsid w:val="00584B61"/>
    <w:rsid w:val="0058641C"/>
    <w:rsid w:val="0059247A"/>
    <w:rsid w:val="00593B8C"/>
    <w:rsid w:val="00594199"/>
    <w:rsid w:val="00595987"/>
    <w:rsid w:val="005978CB"/>
    <w:rsid w:val="005A0067"/>
    <w:rsid w:val="005A08D2"/>
    <w:rsid w:val="005A0E67"/>
    <w:rsid w:val="005A1BF1"/>
    <w:rsid w:val="005A6612"/>
    <w:rsid w:val="005A7AE2"/>
    <w:rsid w:val="005B0155"/>
    <w:rsid w:val="005B1FC0"/>
    <w:rsid w:val="005B75AC"/>
    <w:rsid w:val="005C36E7"/>
    <w:rsid w:val="005C72BD"/>
    <w:rsid w:val="005D17F3"/>
    <w:rsid w:val="005D2663"/>
    <w:rsid w:val="005D30D4"/>
    <w:rsid w:val="005D59A6"/>
    <w:rsid w:val="005D60A9"/>
    <w:rsid w:val="005D69D4"/>
    <w:rsid w:val="005D6B17"/>
    <w:rsid w:val="005D6B7D"/>
    <w:rsid w:val="005D7FAA"/>
    <w:rsid w:val="005E041A"/>
    <w:rsid w:val="005E058B"/>
    <w:rsid w:val="005E20AB"/>
    <w:rsid w:val="005E3EC6"/>
    <w:rsid w:val="005E6B84"/>
    <w:rsid w:val="005F010D"/>
    <w:rsid w:val="005F12A9"/>
    <w:rsid w:val="005F25AA"/>
    <w:rsid w:val="005F2C58"/>
    <w:rsid w:val="0060268F"/>
    <w:rsid w:val="00603784"/>
    <w:rsid w:val="00604C88"/>
    <w:rsid w:val="00606610"/>
    <w:rsid w:val="0061008E"/>
    <w:rsid w:val="00611E67"/>
    <w:rsid w:val="00614002"/>
    <w:rsid w:val="00615EA5"/>
    <w:rsid w:val="0061735F"/>
    <w:rsid w:val="00621B80"/>
    <w:rsid w:val="006246DA"/>
    <w:rsid w:val="0063117F"/>
    <w:rsid w:val="00631C7C"/>
    <w:rsid w:val="00633065"/>
    <w:rsid w:val="0063397E"/>
    <w:rsid w:val="00633AEA"/>
    <w:rsid w:val="00637DAA"/>
    <w:rsid w:val="00640846"/>
    <w:rsid w:val="00643477"/>
    <w:rsid w:val="00646168"/>
    <w:rsid w:val="00647715"/>
    <w:rsid w:val="00647F41"/>
    <w:rsid w:val="006513D1"/>
    <w:rsid w:val="0065168C"/>
    <w:rsid w:val="00651EE3"/>
    <w:rsid w:val="006533B9"/>
    <w:rsid w:val="0065465A"/>
    <w:rsid w:val="006561EA"/>
    <w:rsid w:val="006573A3"/>
    <w:rsid w:val="00657F43"/>
    <w:rsid w:val="00660434"/>
    <w:rsid w:val="006626D7"/>
    <w:rsid w:val="00662C54"/>
    <w:rsid w:val="00664B3F"/>
    <w:rsid w:val="00665AE2"/>
    <w:rsid w:val="006708F9"/>
    <w:rsid w:val="00671C1A"/>
    <w:rsid w:val="006729BD"/>
    <w:rsid w:val="00677786"/>
    <w:rsid w:val="00680541"/>
    <w:rsid w:val="00685598"/>
    <w:rsid w:val="006855F4"/>
    <w:rsid w:val="006860BB"/>
    <w:rsid w:val="00686587"/>
    <w:rsid w:val="00686C11"/>
    <w:rsid w:val="00687006"/>
    <w:rsid w:val="006877EE"/>
    <w:rsid w:val="006912D3"/>
    <w:rsid w:val="00691EFB"/>
    <w:rsid w:val="00692307"/>
    <w:rsid w:val="00692F35"/>
    <w:rsid w:val="00696334"/>
    <w:rsid w:val="006968E3"/>
    <w:rsid w:val="00697D3A"/>
    <w:rsid w:val="006A1F87"/>
    <w:rsid w:val="006A229E"/>
    <w:rsid w:val="006A270F"/>
    <w:rsid w:val="006A454F"/>
    <w:rsid w:val="006A49F4"/>
    <w:rsid w:val="006A4CEF"/>
    <w:rsid w:val="006A60C3"/>
    <w:rsid w:val="006B260D"/>
    <w:rsid w:val="006B322C"/>
    <w:rsid w:val="006B5217"/>
    <w:rsid w:val="006B6CC4"/>
    <w:rsid w:val="006B73EF"/>
    <w:rsid w:val="006C6A05"/>
    <w:rsid w:val="006D2625"/>
    <w:rsid w:val="006D454B"/>
    <w:rsid w:val="006D6D2C"/>
    <w:rsid w:val="006E2A0B"/>
    <w:rsid w:val="006E2A63"/>
    <w:rsid w:val="006F05D8"/>
    <w:rsid w:val="006F271C"/>
    <w:rsid w:val="00702BCF"/>
    <w:rsid w:val="00702CAD"/>
    <w:rsid w:val="00705A35"/>
    <w:rsid w:val="007125F5"/>
    <w:rsid w:val="00716CB6"/>
    <w:rsid w:val="007173BD"/>
    <w:rsid w:val="00717ADE"/>
    <w:rsid w:val="00717B2B"/>
    <w:rsid w:val="00720EDE"/>
    <w:rsid w:val="00720F61"/>
    <w:rsid w:val="00721ED0"/>
    <w:rsid w:val="00724085"/>
    <w:rsid w:val="0072471C"/>
    <w:rsid w:val="0072621A"/>
    <w:rsid w:val="007270CC"/>
    <w:rsid w:val="007272CC"/>
    <w:rsid w:val="007274CC"/>
    <w:rsid w:val="00727950"/>
    <w:rsid w:val="007312DC"/>
    <w:rsid w:val="007339D8"/>
    <w:rsid w:val="0073417D"/>
    <w:rsid w:val="007350D6"/>
    <w:rsid w:val="0073515F"/>
    <w:rsid w:val="00736086"/>
    <w:rsid w:val="00736A3E"/>
    <w:rsid w:val="00743AF0"/>
    <w:rsid w:val="00744861"/>
    <w:rsid w:val="0074744A"/>
    <w:rsid w:val="007505C8"/>
    <w:rsid w:val="007522CF"/>
    <w:rsid w:val="007524B3"/>
    <w:rsid w:val="007644BB"/>
    <w:rsid w:val="0076640D"/>
    <w:rsid w:val="00766D4F"/>
    <w:rsid w:val="00777F31"/>
    <w:rsid w:val="00782D2B"/>
    <w:rsid w:val="00784E72"/>
    <w:rsid w:val="0078627F"/>
    <w:rsid w:val="00790B6D"/>
    <w:rsid w:val="00792A64"/>
    <w:rsid w:val="00795882"/>
    <w:rsid w:val="00797D3C"/>
    <w:rsid w:val="007A1CA2"/>
    <w:rsid w:val="007A21AF"/>
    <w:rsid w:val="007A3428"/>
    <w:rsid w:val="007A3567"/>
    <w:rsid w:val="007A3A94"/>
    <w:rsid w:val="007A5944"/>
    <w:rsid w:val="007B0AC0"/>
    <w:rsid w:val="007B36AD"/>
    <w:rsid w:val="007B3831"/>
    <w:rsid w:val="007B4A31"/>
    <w:rsid w:val="007B54A1"/>
    <w:rsid w:val="007B6A55"/>
    <w:rsid w:val="007C64F0"/>
    <w:rsid w:val="007C7CB9"/>
    <w:rsid w:val="007D2045"/>
    <w:rsid w:val="007D346C"/>
    <w:rsid w:val="007E036C"/>
    <w:rsid w:val="007E2709"/>
    <w:rsid w:val="007E3B76"/>
    <w:rsid w:val="007E3D41"/>
    <w:rsid w:val="007E518C"/>
    <w:rsid w:val="007E7F4B"/>
    <w:rsid w:val="007F0583"/>
    <w:rsid w:val="007F1A2C"/>
    <w:rsid w:val="007F1C8D"/>
    <w:rsid w:val="007F1D45"/>
    <w:rsid w:val="007F2FA9"/>
    <w:rsid w:val="007F4373"/>
    <w:rsid w:val="007F4987"/>
    <w:rsid w:val="007F4DE1"/>
    <w:rsid w:val="007F6E7F"/>
    <w:rsid w:val="008007D5"/>
    <w:rsid w:val="008008F7"/>
    <w:rsid w:val="00806566"/>
    <w:rsid w:val="00807E74"/>
    <w:rsid w:val="00810D85"/>
    <w:rsid w:val="008119D4"/>
    <w:rsid w:val="00814BAD"/>
    <w:rsid w:val="00815439"/>
    <w:rsid w:val="008159A3"/>
    <w:rsid w:val="008170EC"/>
    <w:rsid w:val="00820168"/>
    <w:rsid w:val="00820B01"/>
    <w:rsid w:val="0082248B"/>
    <w:rsid w:val="008246AD"/>
    <w:rsid w:val="00826355"/>
    <w:rsid w:val="008320DE"/>
    <w:rsid w:val="0083532A"/>
    <w:rsid w:val="00835AF0"/>
    <w:rsid w:val="00836E9F"/>
    <w:rsid w:val="008432A6"/>
    <w:rsid w:val="0084556F"/>
    <w:rsid w:val="008500B7"/>
    <w:rsid w:val="008527BF"/>
    <w:rsid w:val="008556E2"/>
    <w:rsid w:val="00856D1A"/>
    <w:rsid w:val="00860CE2"/>
    <w:rsid w:val="008615F8"/>
    <w:rsid w:val="008624E9"/>
    <w:rsid w:val="00865B52"/>
    <w:rsid w:val="00865D2E"/>
    <w:rsid w:val="008662C3"/>
    <w:rsid w:val="00873649"/>
    <w:rsid w:val="00874908"/>
    <w:rsid w:val="00874BB3"/>
    <w:rsid w:val="00876846"/>
    <w:rsid w:val="00877D22"/>
    <w:rsid w:val="00877ECB"/>
    <w:rsid w:val="00880D52"/>
    <w:rsid w:val="00881824"/>
    <w:rsid w:val="00886EC6"/>
    <w:rsid w:val="00887F5D"/>
    <w:rsid w:val="00891534"/>
    <w:rsid w:val="0089279B"/>
    <w:rsid w:val="00896D71"/>
    <w:rsid w:val="008A0A28"/>
    <w:rsid w:val="008A0DC9"/>
    <w:rsid w:val="008A12CA"/>
    <w:rsid w:val="008A4023"/>
    <w:rsid w:val="008A4937"/>
    <w:rsid w:val="008A59C1"/>
    <w:rsid w:val="008A679F"/>
    <w:rsid w:val="008B19FE"/>
    <w:rsid w:val="008B4233"/>
    <w:rsid w:val="008B44E5"/>
    <w:rsid w:val="008B6AA2"/>
    <w:rsid w:val="008B6C9C"/>
    <w:rsid w:val="008C1DE1"/>
    <w:rsid w:val="008C3731"/>
    <w:rsid w:val="008C7E3A"/>
    <w:rsid w:val="008D0107"/>
    <w:rsid w:val="008D069D"/>
    <w:rsid w:val="008D20D5"/>
    <w:rsid w:val="008D6491"/>
    <w:rsid w:val="008D6C14"/>
    <w:rsid w:val="008D6C5D"/>
    <w:rsid w:val="008D7224"/>
    <w:rsid w:val="008E1B78"/>
    <w:rsid w:val="008E238D"/>
    <w:rsid w:val="008E746F"/>
    <w:rsid w:val="008F0CFB"/>
    <w:rsid w:val="008F1918"/>
    <w:rsid w:val="008F3F47"/>
    <w:rsid w:val="008F4040"/>
    <w:rsid w:val="008F4450"/>
    <w:rsid w:val="008F48D6"/>
    <w:rsid w:val="008F59AF"/>
    <w:rsid w:val="008F6205"/>
    <w:rsid w:val="00901F84"/>
    <w:rsid w:val="00904545"/>
    <w:rsid w:val="00904B21"/>
    <w:rsid w:val="00904F43"/>
    <w:rsid w:val="00907131"/>
    <w:rsid w:val="00907294"/>
    <w:rsid w:val="00911EA3"/>
    <w:rsid w:val="00912580"/>
    <w:rsid w:val="00913DDF"/>
    <w:rsid w:val="0091531C"/>
    <w:rsid w:val="00915ABA"/>
    <w:rsid w:val="009174A5"/>
    <w:rsid w:val="00922598"/>
    <w:rsid w:val="00923964"/>
    <w:rsid w:val="0092475F"/>
    <w:rsid w:val="00924EFA"/>
    <w:rsid w:val="00925D5F"/>
    <w:rsid w:val="0092693B"/>
    <w:rsid w:val="00926C56"/>
    <w:rsid w:val="00926DD8"/>
    <w:rsid w:val="009304C3"/>
    <w:rsid w:val="00931301"/>
    <w:rsid w:val="00931C95"/>
    <w:rsid w:val="00931CC3"/>
    <w:rsid w:val="0093727C"/>
    <w:rsid w:val="009373F0"/>
    <w:rsid w:val="009377C4"/>
    <w:rsid w:val="00941C40"/>
    <w:rsid w:val="00942EE3"/>
    <w:rsid w:val="009432AF"/>
    <w:rsid w:val="00944E03"/>
    <w:rsid w:val="00945D04"/>
    <w:rsid w:val="0094698C"/>
    <w:rsid w:val="00950D5F"/>
    <w:rsid w:val="009543A7"/>
    <w:rsid w:val="00955984"/>
    <w:rsid w:val="00955EE7"/>
    <w:rsid w:val="0096080A"/>
    <w:rsid w:val="00964334"/>
    <w:rsid w:val="00970245"/>
    <w:rsid w:val="00972217"/>
    <w:rsid w:val="0097383E"/>
    <w:rsid w:val="009743DC"/>
    <w:rsid w:val="00981013"/>
    <w:rsid w:val="00982EB2"/>
    <w:rsid w:val="00983978"/>
    <w:rsid w:val="0098406F"/>
    <w:rsid w:val="0099236D"/>
    <w:rsid w:val="00992D1C"/>
    <w:rsid w:val="009942F6"/>
    <w:rsid w:val="00994F28"/>
    <w:rsid w:val="009A2A7F"/>
    <w:rsid w:val="009A3320"/>
    <w:rsid w:val="009A3E98"/>
    <w:rsid w:val="009A4686"/>
    <w:rsid w:val="009B0308"/>
    <w:rsid w:val="009B2B9A"/>
    <w:rsid w:val="009B34F2"/>
    <w:rsid w:val="009C11FD"/>
    <w:rsid w:val="009C4147"/>
    <w:rsid w:val="009D00E1"/>
    <w:rsid w:val="009D297A"/>
    <w:rsid w:val="009E16CB"/>
    <w:rsid w:val="009E22DF"/>
    <w:rsid w:val="009E23A2"/>
    <w:rsid w:val="009E2B56"/>
    <w:rsid w:val="009E39EF"/>
    <w:rsid w:val="009F04EF"/>
    <w:rsid w:val="009F097A"/>
    <w:rsid w:val="009F2038"/>
    <w:rsid w:val="009F4EAB"/>
    <w:rsid w:val="009F598E"/>
    <w:rsid w:val="00A007B9"/>
    <w:rsid w:val="00A015FF"/>
    <w:rsid w:val="00A0171C"/>
    <w:rsid w:val="00A02CC6"/>
    <w:rsid w:val="00A055AD"/>
    <w:rsid w:val="00A106D2"/>
    <w:rsid w:val="00A149EA"/>
    <w:rsid w:val="00A15B74"/>
    <w:rsid w:val="00A15BB0"/>
    <w:rsid w:val="00A15EC7"/>
    <w:rsid w:val="00A3040C"/>
    <w:rsid w:val="00A31D8E"/>
    <w:rsid w:val="00A337EE"/>
    <w:rsid w:val="00A357BA"/>
    <w:rsid w:val="00A36082"/>
    <w:rsid w:val="00A36F7D"/>
    <w:rsid w:val="00A379B4"/>
    <w:rsid w:val="00A40251"/>
    <w:rsid w:val="00A41065"/>
    <w:rsid w:val="00A42529"/>
    <w:rsid w:val="00A428A1"/>
    <w:rsid w:val="00A457AB"/>
    <w:rsid w:val="00A4580E"/>
    <w:rsid w:val="00A45BEC"/>
    <w:rsid w:val="00A47D23"/>
    <w:rsid w:val="00A535DA"/>
    <w:rsid w:val="00A54489"/>
    <w:rsid w:val="00A567D3"/>
    <w:rsid w:val="00A56856"/>
    <w:rsid w:val="00A57BE4"/>
    <w:rsid w:val="00A606EA"/>
    <w:rsid w:val="00A62D7A"/>
    <w:rsid w:val="00A64741"/>
    <w:rsid w:val="00A662EA"/>
    <w:rsid w:val="00A72748"/>
    <w:rsid w:val="00A72F42"/>
    <w:rsid w:val="00A73113"/>
    <w:rsid w:val="00A7478B"/>
    <w:rsid w:val="00A760F6"/>
    <w:rsid w:val="00A8022D"/>
    <w:rsid w:val="00A8110B"/>
    <w:rsid w:val="00A83B76"/>
    <w:rsid w:val="00A93180"/>
    <w:rsid w:val="00A9384E"/>
    <w:rsid w:val="00A940A8"/>
    <w:rsid w:val="00A94C32"/>
    <w:rsid w:val="00A95324"/>
    <w:rsid w:val="00AA0C2F"/>
    <w:rsid w:val="00AA0FED"/>
    <w:rsid w:val="00AA12AA"/>
    <w:rsid w:val="00AA18D5"/>
    <w:rsid w:val="00AB1F3D"/>
    <w:rsid w:val="00AB3E16"/>
    <w:rsid w:val="00AB490C"/>
    <w:rsid w:val="00AB53CD"/>
    <w:rsid w:val="00AB5E2D"/>
    <w:rsid w:val="00AB7684"/>
    <w:rsid w:val="00AC0720"/>
    <w:rsid w:val="00AC3341"/>
    <w:rsid w:val="00AC5470"/>
    <w:rsid w:val="00AC5680"/>
    <w:rsid w:val="00AC65C5"/>
    <w:rsid w:val="00AC6AA3"/>
    <w:rsid w:val="00AD11CA"/>
    <w:rsid w:val="00AD1634"/>
    <w:rsid w:val="00AD4AF6"/>
    <w:rsid w:val="00AD4E3C"/>
    <w:rsid w:val="00AF046A"/>
    <w:rsid w:val="00AF7539"/>
    <w:rsid w:val="00B0448B"/>
    <w:rsid w:val="00B05530"/>
    <w:rsid w:val="00B05F6D"/>
    <w:rsid w:val="00B0715A"/>
    <w:rsid w:val="00B11C2B"/>
    <w:rsid w:val="00B1660B"/>
    <w:rsid w:val="00B17308"/>
    <w:rsid w:val="00B17371"/>
    <w:rsid w:val="00B20FEA"/>
    <w:rsid w:val="00B2326A"/>
    <w:rsid w:val="00B24809"/>
    <w:rsid w:val="00B25746"/>
    <w:rsid w:val="00B27D8F"/>
    <w:rsid w:val="00B30302"/>
    <w:rsid w:val="00B34367"/>
    <w:rsid w:val="00B36714"/>
    <w:rsid w:val="00B407F1"/>
    <w:rsid w:val="00B43CCF"/>
    <w:rsid w:val="00B45BB1"/>
    <w:rsid w:val="00B46005"/>
    <w:rsid w:val="00B46FB2"/>
    <w:rsid w:val="00B47F01"/>
    <w:rsid w:val="00B54B3A"/>
    <w:rsid w:val="00B55A5F"/>
    <w:rsid w:val="00B57FA3"/>
    <w:rsid w:val="00B61F56"/>
    <w:rsid w:val="00B62271"/>
    <w:rsid w:val="00B67CC1"/>
    <w:rsid w:val="00B707B8"/>
    <w:rsid w:val="00B710FC"/>
    <w:rsid w:val="00B743DC"/>
    <w:rsid w:val="00B82050"/>
    <w:rsid w:val="00B82EFD"/>
    <w:rsid w:val="00B8367D"/>
    <w:rsid w:val="00B84FF8"/>
    <w:rsid w:val="00B86388"/>
    <w:rsid w:val="00B864A2"/>
    <w:rsid w:val="00B86B4B"/>
    <w:rsid w:val="00B93E39"/>
    <w:rsid w:val="00B95D62"/>
    <w:rsid w:val="00B96E08"/>
    <w:rsid w:val="00B979FE"/>
    <w:rsid w:val="00BA02A1"/>
    <w:rsid w:val="00BA0A34"/>
    <w:rsid w:val="00BA1D17"/>
    <w:rsid w:val="00BA289C"/>
    <w:rsid w:val="00BA3A61"/>
    <w:rsid w:val="00BA3E60"/>
    <w:rsid w:val="00BA443B"/>
    <w:rsid w:val="00BB040D"/>
    <w:rsid w:val="00BB10BA"/>
    <w:rsid w:val="00BB1A13"/>
    <w:rsid w:val="00BB31EE"/>
    <w:rsid w:val="00BB32B2"/>
    <w:rsid w:val="00BB35ED"/>
    <w:rsid w:val="00BB4A92"/>
    <w:rsid w:val="00BB5909"/>
    <w:rsid w:val="00BC1B0A"/>
    <w:rsid w:val="00BC26D4"/>
    <w:rsid w:val="00BC3011"/>
    <w:rsid w:val="00BC311D"/>
    <w:rsid w:val="00BC3279"/>
    <w:rsid w:val="00BD05BB"/>
    <w:rsid w:val="00BD1026"/>
    <w:rsid w:val="00BD2634"/>
    <w:rsid w:val="00BD2B5F"/>
    <w:rsid w:val="00BD362E"/>
    <w:rsid w:val="00BD4CA3"/>
    <w:rsid w:val="00BD5CC0"/>
    <w:rsid w:val="00BE3799"/>
    <w:rsid w:val="00BE3DA9"/>
    <w:rsid w:val="00BE460A"/>
    <w:rsid w:val="00BE64BE"/>
    <w:rsid w:val="00BE7775"/>
    <w:rsid w:val="00BF075E"/>
    <w:rsid w:val="00BF5196"/>
    <w:rsid w:val="00BF7E49"/>
    <w:rsid w:val="00C02099"/>
    <w:rsid w:val="00C02DC1"/>
    <w:rsid w:val="00C10F7C"/>
    <w:rsid w:val="00C14C9D"/>
    <w:rsid w:val="00C174BE"/>
    <w:rsid w:val="00C200F4"/>
    <w:rsid w:val="00C20233"/>
    <w:rsid w:val="00C20E8D"/>
    <w:rsid w:val="00C21152"/>
    <w:rsid w:val="00C21808"/>
    <w:rsid w:val="00C22085"/>
    <w:rsid w:val="00C224FD"/>
    <w:rsid w:val="00C234E5"/>
    <w:rsid w:val="00C27BED"/>
    <w:rsid w:val="00C27C17"/>
    <w:rsid w:val="00C32914"/>
    <w:rsid w:val="00C32C27"/>
    <w:rsid w:val="00C3492E"/>
    <w:rsid w:val="00C34C8F"/>
    <w:rsid w:val="00C36CF5"/>
    <w:rsid w:val="00C37942"/>
    <w:rsid w:val="00C40B19"/>
    <w:rsid w:val="00C4441E"/>
    <w:rsid w:val="00C50098"/>
    <w:rsid w:val="00C5013C"/>
    <w:rsid w:val="00C51E81"/>
    <w:rsid w:val="00C52B7F"/>
    <w:rsid w:val="00C53208"/>
    <w:rsid w:val="00C57000"/>
    <w:rsid w:val="00C6056A"/>
    <w:rsid w:val="00C616EF"/>
    <w:rsid w:val="00C61AB2"/>
    <w:rsid w:val="00C62701"/>
    <w:rsid w:val="00C75A06"/>
    <w:rsid w:val="00C77F64"/>
    <w:rsid w:val="00C81AB9"/>
    <w:rsid w:val="00C84FE7"/>
    <w:rsid w:val="00C963DB"/>
    <w:rsid w:val="00C970C4"/>
    <w:rsid w:val="00CA07EA"/>
    <w:rsid w:val="00CA5268"/>
    <w:rsid w:val="00CB1296"/>
    <w:rsid w:val="00CB16B5"/>
    <w:rsid w:val="00CB5294"/>
    <w:rsid w:val="00CB5755"/>
    <w:rsid w:val="00CC0145"/>
    <w:rsid w:val="00CC245F"/>
    <w:rsid w:val="00CC3C05"/>
    <w:rsid w:val="00CC442E"/>
    <w:rsid w:val="00CD0210"/>
    <w:rsid w:val="00CD189A"/>
    <w:rsid w:val="00CD2024"/>
    <w:rsid w:val="00CD27C0"/>
    <w:rsid w:val="00CD3224"/>
    <w:rsid w:val="00CD5DA2"/>
    <w:rsid w:val="00CD640A"/>
    <w:rsid w:val="00CD7EC1"/>
    <w:rsid w:val="00CE0E45"/>
    <w:rsid w:val="00CE182F"/>
    <w:rsid w:val="00CF1737"/>
    <w:rsid w:val="00CF18D7"/>
    <w:rsid w:val="00CF2C6B"/>
    <w:rsid w:val="00CF2F42"/>
    <w:rsid w:val="00CF54A6"/>
    <w:rsid w:val="00CF7930"/>
    <w:rsid w:val="00D002EA"/>
    <w:rsid w:val="00D029DB"/>
    <w:rsid w:val="00D0737E"/>
    <w:rsid w:val="00D10E87"/>
    <w:rsid w:val="00D10FF1"/>
    <w:rsid w:val="00D1155D"/>
    <w:rsid w:val="00D1378A"/>
    <w:rsid w:val="00D146E7"/>
    <w:rsid w:val="00D14D43"/>
    <w:rsid w:val="00D16357"/>
    <w:rsid w:val="00D17CF7"/>
    <w:rsid w:val="00D217AA"/>
    <w:rsid w:val="00D23605"/>
    <w:rsid w:val="00D25887"/>
    <w:rsid w:val="00D259F2"/>
    <w:rsid w:val="00D3206A"/>
    <w:rsid w:val="00D32989"/>
    <w:rsid w:val="00D340B6"/>
    <w:rsid w:val="00D3545A"/>
    <w:rsid w:val="00D355AA"/>
    <w:rsid w:val="00D41D30"/>
    <w:rsid w:val="00D44DC7"/>
    <w:rsid w:val="00D4514E"/>
    <w:rsid w:val="00D466E2"/>
    <w:rsid w:val="00D47451"/>
    <w:rsid w:val="00D4794E"/>
    <w:rsid w:val="00D502D6"/>
    <w:rsid w:val="00D53394"/>
    <w:rsid w:val="00D5652B"/>
    <w:rsid w:val="00D567F8"/>
    <w:rsid w:val="00D57C70"/>
    <w:rsid w:val="00D60EA1"/>
    <w:rsid w:val="00D611A4"/>
    <w:rsid w:val="00D63613"/>
    <w:rsid w:val="00D64776"/>
    <w:rsid w:val="00D654C8"/>
    <w:rsid w:val="00D71642"/>
    <w:rsid w:val="00D72390"/>
    <w:rsid w:val="00D756E7"/>
    <w:rsid w:val="00D7728E"/>
    <w:rsid w:val="00D8384B"/>
    <w:rsid w:val="00D844C4"/>
    <w:rsid w:val="00D85827"/>
    <w:rsid w:val="00D87D73"/>
    <w:rsid w:val="00D9114A"/>
    <w:rsid w:val="00D9480C"/>
    <w:rsid w:val="00D94EEB"/>
    <w:rsid w:val="00D95BEB"/>
    <w:rsid w:val="00D97A52"/>
    <w:rsid w:val="00D97CEF"/>
    <w:rsid w:val="00DA223D"/>
    <w:rsid w:val="00DA25A5"/>
    <w:rsid w:val="00DA3919"/>
    <w:rsid w:val="00DA5B81"/>
    <w:rsid w:val="00DC0A46"/>
    <w:rsid w:val="00DC0E1D"/>
    <w:rsid w:val="00DC4C8A"/>
    <w:rsid w:val="00DC720F"/>
    <w:rsid w:val="00DD2001"/>
    <w:rsid w:val="00DD259C"/>
    <w:rsid w:val="00DD2CE5"/>
    <w:rsid w:val="00DD3055"/>
    <w:rsid w:val="00DD338C"/>
    <w:rsid w:val="00DD6890"/>
    <w:rsid w:val="00DE07AD"/>
    <w:rsid w:val="00DE0D0B"/>
    <w:rsid w:val="00DE0F1C"/>
    <w:rsid w:val="00DE0F5A"/>
    <w:rsid w:val="00DE6E21"/>
    <w:rsid w:val="00DE7E8C"/>
    <w:rsid w:val="00DF6D05"/>
    <w:rsid w:val="00E004AE"/>
    <w:rsid w:val="00E0350E"/>
    <w:rsid w:val="00E11653"/>
    <w:rsid w:val="00E12150"/>
    <w:rsid w:val="00E15A52"/>
    <w:rsid w:val="00E165FB"/>
    <w:rsid w:val="00E17DBB"/>
    <w:rsid w:val="00E250C4"/>
    <w:rsid w:val="00E31016"/>
    <w:rsid w:val="00E31932"/>
    <w:rsid w:val="00E32FC9"/>
    <w:rsid w:val="00E36CB1"/>
    <w:rsid w:val="00E42376"/>
    <w:rsid w:val="00E465BA"/>
    <w:rsid w:val="00E4680C"/>
    <w:rsid w:val="00E50D57"/>
    <w:rsid w:val="00E60B27"/>
    <w:rsid w:val="00E612AA"/>
    <w:rsid w:val="00E65A54"/>
    <w:rsid w:val="00E6638D"/>
    <w:rsid w:val="00E721E7"/>
    <w:rsid w:val="00E73E5D"/>
    <w:rsid w:val="00E80057"/>
    <w:rsid w:val="00E81A61"/>
    <w:rsid w:val="00E8483C"/>
    <w:rsid w:val="00E85509"/>
    <w:rsid w:val="00E86082"/>
    <w:rsid w:val="00E9038F"/>
    <w:rsid w:val="00E91D57"/>
    <w:rsid w:val="00E94942"/>
    <w:rsid w:val="00E963A4"/>
    <w:rsid w:val="00EA03BB"/>
    <w:rsid w:val="00EA0C1D"/>
    <w:rsid w:val="00EA27FF"/>
    <w:rsid w:val="00EA36EF"/>
    <w:rsid w:val="00EA372D"/>
    <w:rsid w:val="00EA5DB8"/>
    <w:rsid w:val="00EA63B0"/>
    <w:rsid w:val="00EA7B1A"/>
    <w:rsid w:val="00EB0808"/>
    <w:rsid w:val="00EB286A"/>
    <w:rsid w:val="00EB2881"/>
    <w:rsid w:val="00EB2C9A"/>
    <w:rsid w:val="00EB3E78"/>
    <w:rsid w:val="00EB3EA1"/>
    <w:rsid w:val="00EB5A20"/>
    <w:rsid w:val="00EB6264"/>
    <w:rsid w:val="00EB679D"/>
    <w:rsid w:val="00EB6CCE"/>
    <w:rsid w:val="00EC2B3C"/>
    <w:rsid w:val="00EC2BFC"/>
    <w:rsid w:val="00ED3741"/>
    <w:rsid w:val="00ED53B3"/>
    <w:rsid w:val="00EE3470"/>
    <w:rsid w:val="00EE4300"/>
    <w:rsid w:val="00EE4C9D"/>
    <w:rsid w:val="00EE5E4A"/>
    <w:rsid w:val="00EE75CE"/>
    <w:rsid w:val="00EF216E"/>
    <w:rsid w:val="00EF3219"/>
    <w:rsid w:val="00EF359E"/>
    <w:rsid w:val="00EF65A2"/>
    <w:rsid w:val="00F002EC"/>
    <w:rsid w:val="00F04965"/>
    <w:rsid w:val="00F05245"/>
    <w:rsid w:val="00F059C1"/>
    <w:rsid w:val="00F07233"/>
    <w:rsid w:val="00F10CC5"/>
    <w:rsid w:val="00F11DA9"/>
    <w:rsid w:val="00F11FFC"/>
    <w:rsid w:val="00F131B1"/>
    <w:rsid w:val="00F144B0"/>
    <w:rsid w:val="00F2065B"/>
    <w:rsid w:val="00F21296"/>
    <w:rsid w:val="00F25E5F"/>
    <w:rsid w:val="00F267D1"/>
    <w:rsid w:val="00F354B0"/>
    <w:rsid w:val="00F40DB8"/>
    <w:rsid w:val="00F41045"/>
    <w:rsid w:val="00F4259E"/>
    <w:rsid w:val="00F42A23"/>
    <w:rsid w:val="00F4633D"/>
    <w:rsid w:val="00F4673A"/>
    <w:rsid w:val="00F47C0F"/>
    <w:rsid w:val="00F50F2A"/>
    <w:rsid w:val="00F50F50"/>
    <w:rsid w:val="00F5536B"/>
    <w:rsid w:val="00F55823"/>
    <w:rsid w:val="00F55A25"/>
    <w:rsid w:val="00F55C01"/>
    <w:rsid w:val="00F56F25"/>
    <w:rsid w:val="00F57AD6"/>
    <w:rsid w:val="00F6285F"/>
    <w:rsid w:val="00F631BB"/>
    <w:rsid w:val="00F6329C"/>
    <w:rsid w:val="00F64C06"/>
    <w:rsid w:val="00F72F5D"/>
    <w:rsid w:val="00F74FF0"/>
    <w:rsid w:val="00F7540F"/>
    <w:rsid w:val="00F77A66"/>
    <w:rsid w:val="00F85228"/>
    <w:rsid w:val="00F855A2"/>
    <w:rsid w:val="00F87115"/>
    <w:rsid w:val="00F901E0"/>
    <w:rsid w:val="00F92371"/>
    <w:rsid w:val="00F93981"/>
    <w:rsid w:val="00F95A10"/>
    <w:rsid w:val="00F96D0D"/>
    <w:rsid w:val="00FA0739"/>
    <w:rsid w:val="00FA1119"/>
    <w:rsid w:val="00FA34B1"/>
    <w:rsid w:val="00FA41AC"/>
    <w:rsid w:val="00FA431F"/>
    <w:rsid w:val="00FA5110"/>
    <w:rsid w:val="00FA5A0A"/>
    <w:rsid w:val="00FA7EDA"/>
    <w:rsid w:val="00FB3039"/>
    <w:rsid w:val="00FB413C"/>
    <w:rsid w:val="00FC0756"/>
    <w:rsid w:val="00FC0B58"/>
    <w:rsid w:val="00FC1104"/>
    <w:rsid w:val="00FC3765"/>
    <w:rsid w:val="00FC4761"/>
    <w:rsid w:val="00FC4C4B"/>
    <w:rsid w:val="00FC5427"/>
    <w:rsid w:val="00FD3598"/>
    <w:rsid w:val="00FD3F20"/>
    <w:rsid w:val="00FD41BD"/>
    <w:rsid w:val="00FD7612"/>
    <w:rsid w:val="00FE33C9"/>
    <w:rsid w:val="00FE391E"/>
    <w:rsid w:val="00FE4472"/>
    <w:rsid w:val="00FE6DAE"/>
    <w:rsid w:val="00FF011F"/>
    <w:rsid w:val="00FF1D4F"/>
    <w:rsid w:val="00FF39EE"/>
    <w:rsid w:val="00FF418B"/>
    <w:rsid w:val="00FF5520"/>
    <w:rsid w:val="00FF6C61"/>
    <w:rsid w:val="09308E53"/>
    <w:rsid w:val="0A602BBF"/>
    <w:rsid w:val="0E4B79D8"/>
    <w:rsid w:val="1C7D73A6"/>
    <w:rsid w:val="258C068D"/>
    <w:rsid w:val="2CD87179"/>
    <w:rsid w:val="32505A0D"/>
    <w:rsid w:val="3E5AA59B"/>
    <w:rsid w:val="40D12909"/>
    <w:rsid w:val="46388487"/>
    <w:rsid w:val="4F68F13D"/>
    <w:rsid w:val="5B081308"/>
    <w:rsid w:val="61922FBC"/>
    <w:rsid w:val="64537E1A"/>
    <w:rsid w:val="67605249"/>
    <w:rsid w:val="6AA99741"/>
    <w:rsid w:val="767F46FE"/>
    <w:rsid w:val="7BB3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869B90"/>
  <w15:chartTrackingRefBased/>
  <w15:docId w15:val="{2C4C9166-872A-4CB0-89F7-0CC2A807C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E391E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91531C"/>
    <w:pPr>
      <w:ind w:left="720"/>
      <w:contextualSpacing/>
    </w:pPr>
  </w:style>
  <w:style w:type="character" w:styleId="Collegamentoipertestuale">
    <w:name w:val="Hyperlink"/>
    <w:uiPriority w:val="99"/>
    <w:rsid w:val="0091531C"/>
    <w:rPr>
      <w:rFonts w:cs="Times New Roman"/>
      <w:color w:val="0000FF"/>
      <w:u w:val="single"/>
    </w:rPr>
  </w:style>
  <w:style w:type="paragraph" w:customStyle="1" w:styleId="Default">
    <w:name w:val="Default"/>
    <w:rsid w:val="0063117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rsid w:val="00562F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562FC2"/>
    <w:rPr>
      <w:sz w:val="24"/>
      <w:szCs w:val="24"/>
    </w:rPr>
  </w:style>
  <w:style w:type="paragraph" w:styleId="Pidipagina">
    <w:name w:val="footer"/>
    <w:basedOn w:val="Normale"/>
    <w:link w:val="PidipaginaCarattere"/>
    <w:rsid w:val="00562F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562FC2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5C72B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5C72BD"/>
    <w:rPr>
      <w:rFonts w:ascii="Segoe UI" w:hAnsi="Segoe UI" w:cs="Segoe UI"/>
      <w:sz w:val="18"/>
      <w:szCs w:val="18"/>
    </w:rPr>
  </w:style>
  <w:style w:type="character" w:styleId="Rimandocommento">
    <w:name w:val="annotation reference"/>
    <w:rsid w:val="00BB4A92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BB4A9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BB4A92"/>
  </w:style>
  <w:style w:type="paragraph" w:styleId="Soggettocommento">
    <w:name w:val="annotation subject"/>
    <w:basedOn w:val="Testocommento"/>
    <w:next w:val="Testocommento"/>
    <w:link w:val="SoggettocommentoCarattere"/>
    <w:rsid w:val="00BB4A92"/>
    <w:rPr>
      <w:b/>
      <w:bCs/>
    </w:rPr>
  </w:style>
  <w:style w:type="character" w:customStyle="1" w:styleId="SoggettocommentoCarattere">
    <w:name w:val="Soggetto commento Carattere"/>
    <w:link w:val="Soggettocommento"/>
    <w:rsid w:val="00BB4A92"/>
    <w:rPr>
      <w:b/>
      <w:bCs/>
    </w:rPr>
  </w:style>
  <w:style w:type="paragraph" w:customStyle="1" w:styleId="paragraph">
    <w:name w:val="paragraph"/>
    <w:basedOn w:val="Normale"/>
    <w:rsid w:val="00687006"/>
    <w:pPr>
      <w:spacing w:before="100" w:beforeAutospacing="1" w:after="100" w:afterAutospacing="1"/>
    </w:pPr>
  </w:style>
  <w:style w:type="character" w:customStyle="1" w:styleId="normaltextrun">
    <w:name w:val="normaltextrun"/>
    <w:rsid w:val="00687006"/>
  </w:style>
  <w:style w:type="character" w:customStyle="1" w:styleId="eop">
    <w:name w:val="eop"/>
    <w:rsid w:val="006870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4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8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6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82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5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EB607635E32884981E7CFEF9762D8A5" ma:contentTypeVersion="2" ma:contentTypeDescription="Creare un nuovo documento." ma:contentTypeScope="" ma:versionID="6f74afe7c80ff673294aae4b733c1b76">
  <xsd:schema xmlns:xsd="http://www.w3.org/2001/XMLSchema" xmlns:xs="http://www.w3.org/2001/XMLSchema" xmlns:p="http://schemas.microsoft.com/office/2006/metadata/properties" xmlns:ns2="5ed92815-08a0-4271-8905-4ce18a838051" targetNamespace="http://schemas.microsoft.com/office/2006/metadata/properties" ma:root="true" ma:fieldsID="1d201a64b0984644715fe876cb95d0c2" ns2:_="">
    <xsd:import namespace="5ed92815-08a0-4271-8905-4ce18a8380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92815-08a0-4271-8905-4ce18a838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A8642D-8FF9-46CA-B929-20E42ACAA3CC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metadata/properties"/>
    <ds:schemaRef ds:uri="5ed92815-08a0-4271-8905-4ce18a838051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27100DA-9785-44DC-9181-709839E2E1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EAA0B5-854E-48BA-B7D8-380064CA5E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D1C375-0F7F-45EE-A91E-AADD1DF40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d92815-08a0-4271-8905-4ce18a8380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6</Pages>
  <Words>2896</Words>
  <Characters>16418</Characters>
  <Application>Microsoft Office Word</Application>
  <DocSecurity>0</DocSecurity>
  <Lines>136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- CARRIERE DEGLI STUDENTI</vt:lpstr>
    </vt:vector>
  </TitlesOfParts>
  <Company>DII</Company>
  <LinksUpToDate>false</LinksUpToDate>
  <CharactersWithSpaces>19276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Monitoraggio Annuale 2026 - Laurea Magistrale in Ingegneria Gestionale LM-31</dc:title>
  <dc:subject/>
  <dc:creator>Stefano</dc:creator>
  <cp:keywords/>
  <dc:description/>
  <cp:lastModifiedBy>Massimiliano Caramia</cp:lastModifiedBy>
  <cp:revision>294</cp:revision>
  <cp:lastPrinted>2025-09-12T10:17:00Z</cp:lastPrinted>
  <dcterms:created xsi:type="dcterms:W3CDTF">2024-09-13T08:50:00Z</dcterms:created>
  <dcterms:modified xsi:type="dcterms:W3CDTF">2025-09-29T17:59:00Z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4cd587806c502ee296b0f71c9d72940c62094bf8d74bade781a76bba55a6180a</vt:lpwstr>
  </property>
</Properties>
</file>