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279E5" w14:textId="69D54A86" w:rsidR="001278BC" w:rsidRPr="001278BC" w:rsidRDefault="001278BC" w:rsidP="001278BC">
      <w:pPr>
        <w:autoSpaceDE w:val="0"/>
        <w:autoSpaceDN w:val="0"/>
        <w:adjustRightInd w:val="0"/>
        <w:jc w:val="both"/>
        <w:rPr>
          <w:rFonts w:ascii="Arial" w:hAnsi="Arial" w:cs="Arial"/>
          <w:sz w:val="22"/>
          <w:szCs w:val="22"/>
        </w:rPr>
      </w:pPr>
      <w:r w:rsidRPr="001278BC">
        <w:rPr>
          <w:rFonts w:ascii="Arial" w:hAnsi="Arial" w:cs="Arial"/>
          <w:noProof/>
          <w:sz w:val="22"/>
          <w:szCs w:val="22"/>
        </w:rPr>
        <w:drawing>
          <wp:inline distT="0" distB="0" distL="0" distR="0" wp14:anchorId="1F16BAA1" wp14:editId="3B55E8EB">
            <wp:extent cx="2819400" cy="676275"/>
            <wp:effectExtent l="0" t="0" r="0" b="9525"/>
            <wp:docPr id="1514977332" name="Immagine 2"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Carattere, Elementi grafici, grafica&#10;&#10;Descrizione generata automa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9400" cy="676275"/>
                    </a:xfrm>
                    <a:prstGeom prst="rect">
                      <a:avLst/>
                    </a:prstGeom>
                    <a:noFill/>
                    <a:ln>
                      <a:noFill/>
                    </a:ln>
                  </pic:spPr>
                </pic:pic>
              </a:graphicData>
            </a:graphic>
          </wp:inline>
        </w:drawing>
      </w:r>
    </w:p>
    <w:p w14:paraId="680B2400" w14:textId="77777777" w:rsidR="001278BC" w:rsidRPr="001278BC" w:rsidRDefault="001278BC" w:rsidP="001278BC">
      <w:pPr>
        <w:autoSpaceDE w:val="0"/>
        <w:autoSpaceDN w:val="0"/>
        <w:adjustRightInd w:val="0"/>
        <w:jc w:val="both"/>
        <w:rPr>
          <w:rFonts w:ascii="Arial" w:hAnsi="Arial" w:cs="Arial"/>
          <w:sz w:val="22"/>
          <w:szCs w:val="22"/>
        </w:rPr>
      </w:pPr>
    </w:p>
    <w:p w14:paraId="7A6D6E83" w14:textId="77777777" w:rsidR="001278BC" w:rsidRDefault="001278BC" w:rsidP="001278BC">
      <w:pPr>
        <w:autoSpaceDE w:val="0"/>
        <w:autoSpaceDN w:val="0"/>
        <w:adjustRightInd w:val="0"/>
        <w:jc w:val="both"/>
        <w:rPr>
          <w:rFonts w:ascii="Arial" w:hAnsi="Arial" w:cs="Arial"/>
          <w:sz w:val="22"/>
          <w:szCs w:val="22"/>
        </w:rPr>
      </w:pPr>
    </w:p>
    <w:p w14:paraId="3C7C8ECA" w14:textId="77777777" w:rsidR="00D969EE" w:rsidRDefault="00D969EE" w:rsidP="001278BC">
      <w:pPr>
        <w:autoSpaceDE w:val="0"/>
        <w:autoSpaceDN w:val="0"/>
        <w:adjustRightInd w:val="0"/>
        <w:jc w:val="both"/>
        <w:rPr>
          <w:rFonts w:ascii="Arial" w:hAnsi="Arial" w:cs="Arial"/>
          <w:sz w:val="22"/>
          <w:szCs w:val="22"/>
        </w:rPr>
      </w:pPr>
    </w:p>
    <w:p w14:paraId="1FC2875D" w14:textId="0A63BF49" w:rsidR="001278BC" w:rsidRPr="00ED7A6E" w:rsidRDefault="001278BC" w:rsidP="001278BC">
      <w:pPr>
        <w:autoSpaceDE w:val="0"/>
        <w:autoSpaceDN w:val="0"/>
        <w:adjustRightInd w:val="0"/>
        <w:jc w:val="both"/>
        <w:rPr>
          <w:rFonts w:asciiTheme="minorBidi" w:hAnsiTheme="minorBidi" w:cstheme="minorBidi"/>
          <w:sz w:val="22"/>
          <w:szCs w:val="22"/>
        </w:rPr>
      </w:pPr>
      <w:r>
        <w:rPr>
          <w:sz w:val="22"/>
        </w:rPr>
        <w:t>SCHEDA DI MONITORAGGIO ANNUALE – ANNO 2026</w:t>
      </w:r>
    </w:p>
    <w:p w14:paraId="04CFB682" w14:textId="77777777" w:rsidR="001278BC" w:rsidRPr="00ED7A6E" w:rsidRDefault="001278BC" w:rsidP="001278BC">
      <w:pPr>
        <w:autoSpaceDE w:val="0"/>
        <w:autoSpaceDN w:val="0"/>
        <w:adjustRightInd w:val="0"/>
        <w:jc w:val="both"/>
        <w:rPr>
          <w:rFonts w:asciiTheme="minorBidi" w:hAnsiTheme="minorBidi" w:cstheme="minorBidi"/>
          <w:sz w:val="22"/>
          <w:szCs w:val="22"/>
        </w:rPr>
      </w:pPr>
      <w:r w:rsidRPr="00ED7A6E">
        <w:rPr>
          <w:rFonts w:asciiTheme="minorBidi" w:hAnsiTheme="minorBidi" w:cstheme="minorBidi"/>
          <w:sz w:val="22"/>
          <w:szCs w:val="22"/>
        </w:rPr>
        <w:t>LAUREA INGEGNERIA GESTIONALE (prevalentemente a distanza) – L-9</w:t>
      </w:r>
    </w:p>
    <w:p w14:paraId="2F9943CA" w14:textId="77777777" w:rsidR="001278BC" w:rsidRPr="00ED7A6E" w:rsidRDefault="001278BC" w:rsidP="001278BC">
      <w:pPr>
        <w:autoSpaceDE w:val="0"/>
        <w:autoSpaceDN w:val="0"/>
        <w:adjustRightInd w:val="0"/>
        <w:jc w:val="both"/>
        <w:rPr>
          <w:rFonts w:asciiTheme="minorBidi" w:hAnsiTheme="minorBidi" w:cstheme="minorBidi"/>
          <w:sz w:val="22"/>
          <w:szCs w:val="22"/>
        </w:rPr>
      </w:pPr>
      <w:r w:rsidRPr="00ED7A6E">
        <w:rPr>
          <w:rFonts w:asciiTheme="minorBidi" w:hAnsiTheme="minorBidi" w:cstheme="minorBidi"/>
          <w:sz w:val="22"/>
          <w:szCs w:val="22"/>
        </w:rPr>
        <w:t>COORDINATORE CdS INGEGNERIA GESTIONALE: Prof. Massimiliano Caramia</w:t>
      </w:r>
    </w:p>
    <w:p w14:paraId="4279E297" w14:textId="77777777" w:rsidR="001278BC" w:rsidRPr="00ED7A6E" w:rsidRDefault="001278BC" w:rsidP="00E715F1">
      <w:pPr>
        <w:autoSpaceDE w:val="0"/>
        <w:autoSpaceDN w:val="0"/>
        <w:adjustRightInd w:val="0"/>
        <w:jc w:val="both"/>
        <w:rPr>
          <w:rFonts w:asciiTheme="minorBidi" w:hAnsiTheme="minorBidi" w:cstheme="minorBidi"/>
          <w:sz w:val="22"/>
          <w:szCs w:val="22"/>
        </w:rPr>
      </w:pPr>
    </w:p>
    <w:p w14:paraId="5B6D391E" w14:textId="77777777" w:rsidR="001278BC" w:rsidRDefault="001278BC" w:rsidP="00E715F1">
      <w:pPr>
        <w:autoSpaceDE w:val="0"/>
        <w:autoSpaceDN w:val="0"/>
        <w:adjustRightInd w:val="0"/>
        <w:jc w:val="both"/>
        <w:rPr>
          <w:rFonts w:asciiTheme="minorBidi" w:hAnsiTheme="minorBidi" w:cstheme="minorBidi"/>
          <w:sz w:val="22"/>
          <w:szCs w:val="22"/>
        </w:rPr>
      </w:pPr>
    </w:p>
    <w:p w14:paraId="42157EBF" w14:textId="77777777" w:rsidR="00D969EE" w:rsidRPr="00ED7A6E" w:rsidRDefault="00D969EE" w:rsidP="00E715F1">
      <w:pPr>
        <w:autoSpaceDE w:val="0"/>
        <w:autoSpaceDN w:val="0"/>
        <w:adjustRightInd w:val="0"/>
        <w:jc w:val="both"/>
        <w:rPr>
          <w:rFonts w:asciiTheme="minorBidi" w:hAnsiTheme="minorBidi" w:cstheme="minorBidi"/>
          <w:sz w:val="22"/>
          <w:szCs w:val="22"/>
        </w:rPr>
      </w:pPr>
    </w:p>
    <w:p w14:paraId="2A13113C" w14:textId="2001D920" w:rsidR="00E715F1" w:rsidRPr="00ED7A6E" w:rsidRDefault="00AD7D0A" w:rsidP="00E715F1">
      <w:pPr>
        <w:autoSpaceDE w:val="0"/>
        <w:autoSpaceDN w:val="0"/>
        <w:adjustRightInd w:val="0"/>
        <w:jc w:val="both"/>
        <w:rPr>
          <w:rFonts w:asciiTheme="minorBidi" w:hAnsiTheme="minorBidi" w:cstheme="minorBidi"/>
          <w:sz w:val="22"/>
          <w:szCs w:val="22"/>
        </w:rPr>
      </w:pPr>
      <w:r>
        <w:rPr>
          <w:sz w:val="22"/>
        </w:rPr>
        <w:t xml:space="preserve">Si riporta il commento agli indicatori maggiormente rappresentativi e attinenti agli obiettivi strategici dell'Ateneo - integrati con altri ritenuti significativi dal CdS - come raccomandato dalle linee guida </w:t>
      </w:r>
      <w:r>
        <w:rPr>
          <w:b/>
          <w:sz w:val="22"/>
        </w:rPr>
        <w:t>ANVUR</w:t>
      </w:r>
      <w:r>
        <w:rPr>
          <w:sz w:val="22"/>
        </w:rPr>
        <w:t xml:space="preserve">. L'analisi, condotta tenendo conto dei dati disponibili nell'ultimo triennio, è organizzata rispetto alle seguenti voci: Attrattività, Efficienza e andamento delle carriere, Soddisfazione e occupabilità dei laureati, Qualificazione del corpo docente e sostenibilità, Gruppo B – Indicatori internazionalizzazione (DM987/2017 e DM6/2019, allegato E). I dati </w:t>
      </w:r>
      <w:r>
        <w:rPr>
          <w:b/>
          <w:sz w:val="22"/>
        </w:rPr>
        <w:t>ANVUR</w:t>
      </w:r>
      <w:r>
        <w:rPr>
          <w:sz w:val="22"/>
        </w:rPr>
        <w:t xml:space="preserve"> utilizzati sono aggiornati al 4 luglio 2026; sono inoltre considerati i dati </w:t>
      </w:r>
      <w:r>
        <w:rPr>
          <w:b/>
          <w:sz w:val="22"/>
        </w:rPr>
        <w:t>AlmaLaurea</w:t>
      </w:r>
      <w:r>
        <w:rPr>
          <w:sz w:val="22"/>
        </w:rPr>
        <w:t xml:space="preserve"> 2025 e i dati sugli immatricolati dell'a.a. 2025/26.</w:t>
      </w:r>
    </w:p>
    <w:p w14:paraId="2AA57F58" w14:textId="77777777" w:rsidR="00E715F1" w:rsidRPr="00ED7A6E" w:rsidRDefault="00E715F1" w:rsidP="00060F9E">
      <w:pPr>
        <w:autoSpaceDE w:val="0"/>
        <w:autoSpaceDN w:val="0"/>
        <w:adjustRightInd w:val="0"/>
        <w:jc w:val="both"/>
        <w:rPr>
          <w:rFonts w:asciiTheme="minorBidi" w:hAnsiTheme="minorBidi" w:cstheme="minorBidi"/>
          <w:sz w:val="22"/>
          <w:szCs w:val="22"/>
        </w:rPr>
      </w:pPr>
    </w:p>
    <w:p w14:paraId="5837D702" w14:textId="2C74BD2E" w:rsidR="006F3889" w:rsidRPr="00ED7A6E" w:rsidRDefault="006F3889" w:rsidP="00060F9E">
      <w:pPr>
        <w:autoSpaceDE w:val="0"/>
        <w:autoSpaceDN w:val="0"/>
        <w:adjustRightInd w:val="0"/>
        <w:jc w:val="both"/>
        <w:rPr>
          <w:rFonts w:asciiTheme="minorBidi" w:hAnsiTheme="minorBidi" w:cstheme="minorBidi"/>
          <w:b/>
          <w:bCs/>
          <w:sz w:val="22"/>
          <w:szCs w:val="22"/>
        </w:rPr>
      </w:pPr>
      <w:r w:rsidRPr="00ED7A6E">
        <w:rPr>
          <w:rFonts w:asciiTheme="minorBidi" w:hAnsiTheme="minorBidi" w:cstheme="minorBidi"/>
          <w:b/>
          <w:bCs/>
          <w:sz w:val="22"/>
          <w:szCs w:val="22"/>
        </w:rPr>
        <w:t>ATTRATTIVITÀ</w:t>
      </w:r>
    </w:p>
    <w:p w14:paraId="4A8A590D" w14:textId="3E0078FE" w:rsidR="006F3889" w:rsidRPr="00404B3A" w:rsidRDefault="006F3889" w:rsidP="00060F9E">
      <w:pPr>
        <w:autoSpaceDE w:val="0"/>
        <w:autoSpaceDN w:val="0"/>
        <w:adjustRightInd w:val="0"/>
        <w:jc w:val="both"/>
        <w:rPr>
          <w:rFonts w:asciiTheme="minorBidi" w:hAnsiTheme="minorBidi" w:cstheme="minorBidi"/>
          <w:sz w:val="22"/>
          <w:szCs w:val="22"/>
          <w:shd w:val="clear" w:color="auto" w:fill="FFFFFF"/>
        </w:rPr>
      </w:pPr>
      <w:r>
        <w:rPr>
          <w:sz w:val="22"/>
        </w:rPr>
        <w:t>Nel triennio più recente gli avvii di carriera al primo anno (</w:t>
      </w:r>
      <w:r>
        <w:rPr>
          <w:b/>
          <w:sz w:val="22"/>
        </w:rPr>
        <w:t>iC00</w:t>
      </w:r>
      <w:r>
        <w:rPr>
          <w:sz w:val="22"/>
        </w:rPr>
        <w:t>a) sono pari a 57 nel 2023/24, 62 nel 2024/25 e 54 nel 2025/26. Dopo la ripresa del 2024/25, il dato più recente registra quindi una flessione del 12,9%. Il valore resta inferiore alle medie dei CdS della stessa classe dello stesso Ateneo (173,8; 165,0; 164,4), dell'area geografica (135,0; 140,6; 157,4) e nazionali (155,1; 163,2; 165,0).</w:t>
      </w:r>
    </w:p>
    <w:p w14:paraId="3678DAF9" w14:textId="539EA168" w:rsidR="0037460A" w:rsidRPr="00404B3A" w:rsidRDefault="006F3889" w:rsidP="00060F9E">
      <w:pPr>
        <w:autoSpaceDE w:val="0"/>
        <w:autoSpaceDN w:val="0"/>
        <w:adjustRightInd w:val="0"/>
        <w:jc w:val="both"/>
        <w:rPr>
          <w:rFonts w:asciiTheme="minorBidi" w:hAnsiTheme="minorBidi" w:cstheme="minorBidi"/>
          <w:sz w:val="22"/>
          <w:szCs w:val="22"/>
          <w:shd w:val="clear" w:color="auto" w:fill="FFFFFF"/>
        </w:rPr>
      </w:pPr>
      <w:r>
        <w:rPr>
          <w:sz w:val="22"/>
        </w:rPr>
        <w:t xml:space="preserve">Il file di Ateneo sugli immatricolati 2025/26 riporta 56 immatricolati complessivi, di cui 17 alla prima carriera e 39 con carriera universitaria precedente. Il dato, costruito con una definizione amministrativa diversa da </w:t>
      </w:r>
      <w:r>
        <w:rPr>
          <w:b/>
          <w:sz w:val="22"/>
        </w:rPr>
        <w:t>iC00</w:t>
      </w:r>
      <w:r>
        <w:rPr>
          <w:sz w:val="22"/>
        </w:rPr>
        <w:t xml:space="preserve">a, conferma una numerosità dell'ordine di quella rilevata da </w:t>
      </w:r>
      <w:r>
        <w:rPr>
          <w:b/>
          <w:sz w:val="22"/>
        </w:rPr>
        <w:t>ANVUR</w:t>
      </w:r>
      <w:r>
        <w:rPr>
          <w:sz w:val="22"/>
        </w:rPr>
        <w:t>. Di questi 56 immatricolati, 18 risultano residenti fuori dal Lazio (32,1%).</w:t>
      </w:r>
    </w:p>
    <w:p w14:paraId="388732F2" w14:textId="7A212959" w:rsidR="006F3889" w:rsidRPr="00404B3A" w:rsidRDefault="0037460A" w:rsidP="00060F9E">
      <w:pPr>
        <w:autoSpaceDE w:val="0"/>
        <w:autoSpaceDN w:val="0"/>
        <w:adjustRightInd w:val="0"/>
        <w:jc w:val="both"/>
        <w:rPr>
          <w:rFonts w:asciiTheme="minorBidi" w:hAnsiTheme="minorBidi" w:cstheme="minorBidi"/>
          <w:sz w:val="22"/>
          <w:szCs w:val="22"/>
          <w:shd w:val="clear" w:color="auto" w:fill="FFFFFF"/>
        </w:rPr>
      </w:pPr>
      <w:r>
        <w:rPr>
          <w:sz w:val="22"/>
        </w:rPr>
        <w:t>Occorre rimarcare che i confronti ministeriali sono effettuati rispetto a CdS non telematici, mentre il corso in oggetto è in modalità prevalentemente a distanza. Tale differenza di popolazione e modalità di erogazione va tenuta presente nell'interpretazione di tutti i benchmark riportati nel seguito.</w:t>
      </w:r>
    </w:p>
    <w:p w14:paraId="35BA44FB" w14:textId="2C78C946" w:rsidR="006F3889" w:rsidRPr="00404B3A" w:rsidRDefault="00400CC9" w:rsidP="00060F9E">
      <w:pPr>
        <w:autoSpaceDE w:val="0"/>
        <w:autoSpaceDN w:val="0"/>
        <w:adjustRightInd w:val="0"/>
        <w:jc w:val="both"/>
        <w:rPr>
          <w:rFonts w:asciiTheme="minorBidi" w:hAnsiTheme="minorBidi" w:cstheme="minorBidi"/>
          <w:sz w:val="22"/>
          <w:szCs w:val="22"/>
          <w:shd w:val="clear" w:color="auto" w:fill="FFFFFF"/>
        </w:rPr>
      </w:pPr>
      <w:r>
        <w:rPr>
          <w:sz w:val="22"/>
        </w:rPr>
        <w:t>Il numero degli immatricolati puri (</w:t>
      </w:r>
      <w:r>
        <w:rPr>
          <w:b/>
          <w:sz w:val="22"/>
        </w:rPr>
        <w:t>iC00</w:t>
      </w:r>
      <w:r>
        <w:rPr>
          <w:sz w:val="22"/>
        </w:rPr>
        <w:t>b) è 13 nel 2025/26, rispetto a 20 nel 2024/25 e 18 nel 2023/24. Anche questo indicatore si colloca su valori nettamente inferiori alle medie dello stesso Ateneo (143,2), dell'area geografica (141,1) e nazionale (147,8). La riduzione suggerisce di mantenere alta l'attenzione sull'attrattività verso studenti alla prima esperienza universitaria.</w:t>
      </w:r>
    </w:p>
    <w:p w14:paraId="6E4DE919" w14:textId="18EDEC2C" w:rsidR="001B107E" w:rsidRPr="00404B3A" w:rsidRDefault="001B107E" w:rsidP="001B107E">
      <w:pPr>
        <w:autoSpaceDE w:val="0"/>
        <w:autoSpaceDN w:val="0"/>
        <w:adjustRightInd w:val="0"/>
        <w:jc w:val="both"/>
        <w:rPr>
          <w:rFonts w:asciiTheme="minorBidi" w:hAnsiTheme="minorBidi" w:cstheme="minorBidi"/>
          <w:sz w:val="22"/>
          <w:szCs w:val="22"/>
          <w:shd w:val="clear" w:color="auto" w:fill="FFFFFF"/>
        </w:rPr>
      </w:pPr>
      <w:r>
        <w:rPr>
          <w:sz w:val="22"/>
        </w:rPr>
        <w:t>Gli iscritti complessivi (</w:t>
      </w:r>
      <w:r>
        <w:rPr>
          <w:b/>
          <w:sz w:val="22"/>
        </w:rPr>
        <w:t>iC00</w:t>
      </w:r>
      <w:r>
        <w:rPr>
          <w:sz w:val="22"/>
        </w:rPr>
        <w:t>d) risultano sostanzialmente stabili: 101 nel 2023/24, 98 nel 2024/25 e 99 nel 2025/26. Gli iscritti regolari (</w:t>
      </w:r>
      <w:r>
        <w:rPr>
          <w:b/>
          <w:sz w:val="22"/>
        </w:rPr>
        <w:t>iC00</w:t>
      </w:r>
      <w:r>
        <w:rPr>
          <w:sz w:val="22"/>
        </w:rPr>
        <w:t>e) passano da 83 a 77 e quindi a 75. La quota di iscritti non regolari è pertanto pari a circa il 17,8% nel 2023/24, 21,4% nel 2024/25 e 24,2% nel 2025/26. Il valore più recente resta inferiore a quello medio dello stesso Ateneo (circa 30,7%), è vicino a quello dell'area geografica (circa 25,2%) e a quello nazionale (circa 24,8%).</w:t>
      </w:r>
    </w:p>
    <w:p w14:paraId="4080B816" w14:textId="751DF262" w:rsidR="0018527A" w:rsidRPr="00404B3A" w:rsidRDefault="0018527A" w:rsidP="00736AA7">
      <w:pPr>
        <w:autoSpaceDE w:val="0"/>
        <w:autoSpaceDN w:val="0"/>
        <w:adjustRightInd w:val="0"/>
        <w:jc w:val="both"/>
        <w:rPr>
          <w:rFonts w:asciiTheme="minorBidi" w:hAnsiTheme="minorBidi" w:cstheme="minorBidi"/>
          <w:sz w:val="22"/>
          <w:szCs w:val="22"/>
          <w:shd w:val="clear" w:color="auto" w:fill="FFFFFF"/>
        </w:rPr>
      </w:pPr>
      <w:r>
        <w:rPr>
          <w:sz w:val="22"/>
        </w:rPr>
        <w:t>Gli iscritti regolari immatricolati puri (</w:t>
      </w:r>
      <w:r>
        <w:rPr>
          <w:b/>
          <w:sz w:val="22"/>
        </w:rPr>
        <w:t>iC00</w:t>
      </w:r>
      <w:r>
        <w:rPr>
          <w:sz w:val="22"/>
        </w:rPr>
        <w:t>f) sono 26 nel 2023/24, 27 nel 2024/25 e 22 nel 2025/26. Il dato più recente è quindi in diminuzione e rimane ampiamente inferiore alle medie dello stesso Ateneo (315,8), dell'area geografica (304,4) e nazionale (350,1).</w:t>
      </w:r>
    </w:p>
    <w:p w14:paraId="6BA8699C" w14:textId="6A447B82" w:rsidR="006F3889" w:rsidRPr="00404B3A" w:rsidRDefault="006F3889" w:rsidP="00060F9E">
      <w:pPr>
        <w:autoSpaceDE w:val="0"/>
        <w:autoSpaceDN w:val="0"/>
        <w:adjustRightInd w:val="0"/>
        <w:jc w:val="both"/>
        <w:rPr>
          <w:rFonts w:asciiTheme="minorBidi" w:hAnsiTheme="minorBidi" w:cstheme="minorBidi"/>
          <w:sz w:val="22"/>
          <w:szCs w:val="22"/>
          <w:shd w:val="clear" w:color="auto" w:fill="FFFFFF"/>
        </w:rPr>
      </w:pPr>
      <w:r>
        <w:rPr>
          <w:sz w:val="22"/>
        </w:rPr>
        <w:t xml:space="preserve">L'indicatore </w:t>
      </w:r>
      <w:r>
        <w:rPr>
          <w:b/>
          <w:sz w:val="22"/>
        </w:rPr>
        <w:t>iC03</w:t>
      </w:r>
      <w:r>
        <w:rPr>
          <w:sz w:val="22"/>
        </w:rPr>
        <w:t>, relativo agli iscritti al primo anno provenienti da altre Regioni, mostra invece un deciso miglioramento: 33,3% nel 2023/24, 16,1% nel 2024/25 e 37,0% nel 2025/26. Il valore più recente supera le medie dello stesso Ateneo (26,9%), dell'area geografica (21,7%) e nazionale (19,9%). Questo risultato è coerente con la natura prevalentemente a distanza del CdS e costituisce un elemento positivo di attrattività territoriale.</w:t>
      </w:r>
    </w:p>
    <w:p w14:paraId="61FD9487" w14:textId="60140179" w:rsidR="006F3889" w:rsidRDefault="006F3889" w:rsidP="00060F9E">
      <w:pPr>
        <w:autoSpaceDE w:val="0"/>
        <w:autoSpaceDN w:val="0"/>
        <w:adjustRightInd w:val="0"/>
        <w:jc w:val="both"/>
        <w:rPr>
          <w:rFonts w:asciiTheme="minorBidi" w:hAnsiTheme="minorBidi" w:cstheme="minorBidi"/>
          <w:sz w:val="22"/>
          <w:szCs w:val="22"/>
        </w:rPr>
      </w:pPr>
    </w:p>
    <w:p w14:paraId="7A8957BE" w14:textId="77777777" w:rsidR="00404B3A" w:rsidRDefault="00404B3A" w:rsidP="00060F9E">
      <w:pPr>
        <w:autoSpaceDE w:val="0"/>
        <w:autoSpaceDN w:val="0"/>
        <w:adjustRightInd w:val="0"/>
        <w:jc w:val="both"/>
        <w:rPr>
          <w:rFonts w:asciiTheme="minorBidi" w:hAnsiTheme="minorBidi" w:cstheme="minorBidi"/>
          <w:sz w:val="22"/>
          <w:szCs w:val="22"/>
        </w:rPr>
      </w:pPr>
    </w:p>
    <w:p w14:paraId="624D7966" w14:textId="77777777" w:rsidR="00D969EE" w:rsidRPr="00ED7A6E" w:rsidRDefault="00D969EE" w:rsidP="00060F9E">
      <w:pPr>
        <w:autoSpaceDE w:val="0"/>
        <w:autoSpaceDN w:val="0"/>
        <w:adjustRightInd w:val="0"/>
        <w:jc w:val="both"/>
        <w:rPr>
          <w:rFonts w:asciiTheme="minorBidi" w:hAnsiTheme="minorBidi" w:cstheme="minorBidi"/>
          <w:sz w:val="22"/>
          <w:szCs w:val="22"/>
        </w:rPr>
      </w:pPr>
    </w:p>
    <w:p w14:paraId="7C0D7019" w14:textId="759A2D18" w:rsidR="00667024" w:rsidRPr="00ED7A6E" w:rsidRDefault="00667024" w:rsidP="00060F9E">
      <w:pPr>
        <w:shd w:val="clear" w:color="auto" w:fill="FFFFFF"/>
        <w:autoSpaceDE w:val="0"/>
        <w:autoSpaceDN w:val="0"/>
        <w:adjustRightInd w:val="0"/>
        <w:spacing w:after="120"/>
        <w:ind w:right="184"/>
        <w:jc w:val="both"/>
        <w:rPr>
          <w:rFonts w:asciiTheme="minorBidi" w:hAnsiTheme="minorBidi" w:cstheme="minorBidi"/>
          <w:b/>
          <w:bCs/>
          <w:caps/>
          <w:sz w:val="22"/>
          <w:szCs w:val="22"/>
        </w:rPr>
      </w:pPr>
      <w:r>
        <w:rPr>
          <w:b/>
          <w:sz w:val="22"/>
        </w:rPr>
        <w:t>EFFICIENZA</w:t>
      </w:r>
      <w:r>
        <w:rPr>
          <w:sz w:val="22"/>
        </w:rPr>
        <w:t xml:space="preserve"> E ANDAMENTO DELLE CARRIERE</w:t>
      </w:r>
    </w:p>
    <w:p w14:paraId="59E7D62F" w14:textId="6D2A8B53" w:rsidR="004B4A13" w:rsidRPr="00ED7A6E" w:rsidRDefault="00EE742E" w:rsidP="00060F9E">
      <w:pPr>
        <w:autoSpaceDE w:val="0"/>
        <w:autoSpaceDN w:val="0"/>
        <w:adjustRightInd w:val="0"/>
        <w:jc w:val="both"/>
        <w:rPr>
          <w:rFonts w:asciiTheme="minorBidi" w:hAnsiTheme="minorBidi" w:cstheme="minorBidi"/>
          <w:sz w:val="22"/>
          <w:szCs w:val="22"/>
          <w:shd w:val="clear" w:color="auto" w:fill="FFFFFF"/>
        </w:rPr>
      </w:pPr>
      <w:r>
        <w:rPr>
          <w:sz w:val="22"/>
        </w:rPr>
        <w:t>Nel triennio di rilevazione 2022/23-2024/25, la percentuale degli iscritti entro la durata normale del CdS che hanno acquisito almeno 40 CFU nell'a.a. (</w:t>
      </w:r>
      <w:r>
        <w:rPr>
          <w:b/>
          <w:sz w:val="22"/>
        </w:rPr>
        <w:t>iC01</w:t>
      </w:r>
      <w:r>
        <w:rPr>
          <w:sz w:val="22"/>
        </w:rPr>
        <w:t>) è pari al 3,3% nel 2022/23, 8,4% nel 2023/24 e 2,6% nel 2024/25. Il miglioramento osservato nel 2023/24 non si consolida quindi nell'ultimo dato disponibile.</w:t>
      </w:r>
    </w:p>
    <w:p w14:paraId="7A98274A" w14:textId="6C50FFCD" w:rsidR="00AD7D0A" w:rsidRPr="00ED7A6E" w:rsidRDefault="00AD7D0A" w:rsidP="00060F9E">
      <w:pPr>
        <w:autoSpaceDE w:val="0"/>
        <w:autoSpaceDN w:val="0"/>
        <w:adjustRightInd w:val="0"/>
        <w:jc w:val="both"/>
        <w:rPr>
          <w:rFonts w:asciiTheme="minorBidi" w:hAnsiTheme="minorBidi" w:cstheme="minorBidi"/>
          <w:sz w:val="22"/>
          <w:szCs w:val="22"/>
          <w:shd w:val="clear" w:color="auto" w:fill="FFFFFF"/>
        </w:rPr>
      </w:pPr>
      <w:r>
        <w:rPr>
          <w:sz w:val="22"/>
        </w:rPr>
        <w:t xml:space="preserve">I valori di </w:t>
      </w:r>
      <w:r>
        <w:rPr>
          <w:b/>
          <w:sz w:val="22"/>
        </w:rPr>
        <w:t>iC01</w:t>
      </w:r>
      <w:r>
        <w:rPr>
          <w:sz w:val="22"/>
        </w:rPr>
        <w:t xml:space="preserve"> restano nettamente inferiori ai benchmark: nel 2024/25 il 2,6% del CdS si confronta con il 29,6% dello stesso Ateneo, il 40,3% dell'area geografica e il 49,3% nazionale. L'indicatore conferma una criticità significativa nella velocità di acquisizione dei crediti, in particolare nel primo periodo della carriera.</w:t>
      </w:r>
    </w:p>
    <w:p w14:paraId="1A941846" w14:textId="77777777" w:rsidR="001177FB" w:rsidRPr="001177FB" w:rsidRDefault="001177FB" w:rsidP="001177FB">
      <w:pPr>
        <w:autoSpaceDE w:val="0"/>
        <w:autoSpaceDN w:val="0"/>
        <w:adjustRightInd w:val="0"/>
        <w:jc w:val="both"/>
        <w:rPr>
          <w:rFonts w:asciiTheme="minorBidi" w:hAnsiTheme="minorBidi" w:cstheme="minorBidi"/>
          <w:sz w:val="22"/>
          <w:szCs w:val="22"/>
          <w:shd w:val="clear" w:color="auto" w:fill="FFFFFF"/>
        </w:rPr>
      </w:pPr>
      <w:r>
        <w:rPr>
          <w:sz w:val="22"/>
        </w:rPr>
        <w:t>Anche la percentuale di CFU conseguiti al primo anno su quelli da conseguire (</w:t>
      </w:r>
      <w:r>
        <w:rPr>
          <w:b/>
          <w:sz w:val="22"/>
        </w:rPr>
        <w:t>iC13</w:t>
      </w:r>
      <w:r>
        <w:rPr>
          <w:sz w:val="22"/>
        </w:rPr>
        <w:t>) mostra un arretramento nell'ultimo anno: 13,8% nel 2022/23, 16,1% nel 2023/24 e 6,3% nel 2024/25. Nel 2024/25 le medie di confronto sono 34,7% per l'Ateneo, 45,7% per l'area geografica e 52,5% a livello nazionale.</w:t>
      </w:r>
    </w:p>
    <w:p w14:paraId="3E7403CE" w14:textId="3479A4D6" w:rsidR="001177FB" w:rsidRPr="001177FB" w:rsidRDefault="001177FB" w:rsidP="001177FB">
      <w:pPr>
        <w:autoSpaceDE w:val="0"/>
        <w:autoSpaceDN w:val="0"/>
        <w:adjustRightInd w:val="0"/>
        <w:jc w:val="both"/>
        <w:rPr>
          <w:rFonts w:asciiTheme="minorBidi" w:hAnsiTheme="minorBidi" w:cstheme="minorBidi"/>
          <w:sz w:val="22"/>
          <w:szCs w:val="22"/>
          <w:shd w:val="clear" w:color="auto" w:fill="FFFFFF"/>
        </w:rPr>
      </w:pPr>
      <w:r>
        <w:rPr>
          <w:sz w:val="22"/>
        </w:rPr>
        <w:t>La percentuale di studenti che proseguono al secondo anno nello stesso CdS (</w:t>
      </w:r>
      <w:r>
        <w:rPr>
          <w:b/>
          <w:sz w:val="22"/>
        </w:rPr>
        <w:t>iC14</w:t>
      </w:r>
      <w:r>
        <w:rPr>
          <w:sz w:val="22"/>
        </w:rPr>
        <w:t>) è 12,1% nel 2022/23, 33,3% nel 2023/24 e 20,0% nel 2024/25. Il valore più recente rimane inferiore alle medie dello stesso Ateneo (64,3%), dell'area geografica (74,2%) e nazionale (77,8%).</w:t>
      </w:r>
    </w:p>
    <w:p w14:paraId="03C2CF87" w14:textId="136117FD" w:rsidR="001177FB" w:rsidRPr="001177FB" w:rsidRDefault="001177FB" w:rsidP="001177FB">
      <w:pPr>
        <w:autoSpaceDE w:val="0"/>
        <w:autoSpaceDN w:val="0"/>
        <w:adjustRightInd w:val="0"/>
        <w:jc w:val="both"/>
        <w:rPr>
          <w:rFonts w:asciiTheme="minorBidi" w:hAnsiTheme="minorBidi" w:cstheme="minorBidi"/>
          <w:sz w:val="22"/>
          <w:szCs w:val="22"/>
          <w:shd w:val="clear" w:color="auto" w:fill="FFFFFF"/>
        </w:rPr>
      </w:pPr>
      <w:r>
        <w:rPr>
          <w:sz w:val="22"/>
        </w:rPr>
        <w:t>Per la prosecuzione al secondo anno con almeno 20 CFU acquisiti (</w:t>
      </w:r>
      <w:r>
        <w:rPr>
          <w:b/>
          <w:sz w:val="22"/>
        </w:rPr>
        <w:t>iC15</w:t>
      </w:r>
      <w:r>
        <w:rPr>
          <w:sz w:val="22"/>
        </w:rPr>
        <w:t xml:space="preserve">) i valori sono 12,1% nel 2022/23, 16,7% nel 2023/24 e 10,0% nel 2024/25. Anche </w:t>
      </w:r>
      <w:r>
        <w:rPr>
          <w:b/>
          <w:sz w:val="22"/>
        </w:rPr>
        <w:t>iC16</w:t>
      </w:r>
      <w:r>
        <w:rPr>
          <w:sz w:val="22"/>
        </w:rPr>
        <w:t>, relativo alla prosecuzione con almeno 40 CFU, passa dal 3,0% al 11,1% e quindi al 5,0%. Entrambi gli indicatori restano distanti dai benchmark di Ateneo, area geografica e nazionali e confermano la necessità di proseguire le azioni di tutoraggio e monitoraggio del primo anno.</w:t>
      </w:r>
    </w:p>
    <w:p w14:paraId="63A031C7" w14:textId="659E5D45" w:rsidR="001177FB" w:rsidRPr="001177FB" w:rsidRDefault="00370424" w:rsidP="001177FB">
      <w:pPr>
        <w:autoSpaceDE w:val="0"/>
        <w:autoSpaceDN w:val="0"/>
        <w:adjustRightInd w:val="0"/>
        <w:jc w:val="both"/>
        <w:rPr>
          <w:rFonts w:asciiTheme="minorBidi" w:hAnsiTheme="minorBidi" w:cstheme="minorBidi"/>
          <w:sz w:val="22"/>
          <w:szCs w:val="22"/>
          <w:shd w:val="clear" w:color="auto" w:fill="FFFFFF"/>
        </w:rPr>
      </w:pPr>
      <w:r>
        <w:rPr>
          <w:sz w:val="22"/>
        </w:rPr>
        <w:t xml:space="preserve">L'indicatore </w:t>
      </w:r>
      <w:r>
        <w:rPr>
          <w:b/>
          <w:sz w:val="22"/>
        </w:rPr>
        <w:t>iC17</w:t>
      </w:r>
      <w:r>
        <w:rPr>
          <w:sz w:val="22"/>
        </w:rPr>
        <w:t xml:space="preserve">, relativo agli immatricolati che si laureano entro un anno oltre la durata normale nello stesso CdS, è pari all'11,1% nel 2022/23, allo 0% nel 2023/24 e al 3,0% nel 2024/25. Per </w:t>
      </w:r>
      <w:r>
        <w:rPr>
          <w:b/>
          <w:sz w:val="22"/>
        </w:rPr>
        <w:t>iC22</w:t>
      </w:r>
      <w:r>
        <w:rPr>
          <w:sz w:val="22"/>
        </w:rPr>
        <w:t>, relativo agli immatricolati che si laureano nel CdS entro la durata normale, il valore resta pari a 0% nel 2022/23, 2023/24 e 2024/25.</w:t>
      </w:r>
    </w:p>
    <w:p w14:paraId="5D49DE68" w14:textId="6869DAAA" w:rsidR="00E66EC1" w:rsidRPr="00E66EC1" w:rsidRDefault="001177FB" w:rsidP="00E66EC1">
      <w:pPr>
        <w:autoSpaceDE w:val="0"/>
        <w:autoSpaceDN w:val="0"/>
        <w:adjustRightInd w:val="0"/>
        <w:jc w:val="both"/>
        <w:rPr>
          <w:rFonts w:asciiTheme="minorBidi" w:hAnsiTheme="minorBidi" w:cstheme="minorBidi"/>
          <w:sz w:val="22"/>
          <w:szCs w:val="22"/>
          <w:shd w:val="clear" w:color="auto" w:fill="FFFFFF"/>
        </w:rPr>
      </w:pPr>
      <w:r>
        <w:rPr>
          <w:sz w:val="22"/>
        </w:rPr>
        <w:t>La prosecuzione della carriera nel sistema universitario al secondo anno (</w:t>
      </w:r>
      <w:r>
        <w:rPr>
          <w:b/>
          <w:sz w:val="22"/>
        </w:rPr>
        <w:t>iC21</w:t>
      </w:r>
      <w:r>
        <w:rPr>
          <w:sz w:val="22"/>
        </w:rPr>
        <w:t xml:space="preserve">) è pari al 54,5% nel 2022/23, 50,0% nel 2023/24 e 55,0% nel 2024/25, ancora sensibilmente inferiore ai benchmark. L'indicatore </w:t>
      </w:r>
      <w:r>
        <w:rPr>
          <w:b/>
          <w:sz w:val="22"/>
        </w:rPr>
        <w:t>iC23</w:t>
      </w:r>
      <w:r>
        <w:rPr>
          <w:sz w:val="22"/>
        </w:rPr>
        <w:t>, relativo al passaggio al secondo anno in un differente CdS dello stesso Ateneo, è 12,1%, 0% e 10,0% nei tre anni; gli abbandoni dopo N+1 anni (</w:t>
      </w:r>
      <w:r>
        <w:rPr>
          <w:b/>
          <w:sz w:val="22"/>
        </w:rPr>
        <w:t>iC24</w:t>
      </w:r>
      <w:r>
        <w:rPr>
          <w:sz w:val="22"/>
        </w:rPr>
        <w:t>) restano molto elevati, pur migliorando dal 96,3% del 2023/24 all'87,9% nel 2024/25 (88,9% nel 2022/23).</w:t>
      </w:r>
    </w:p>
    <w:p w14:paraId="13A280ED" w14:textId="545B98C3" w:rsidR="001177FB" w:rsidRPr="001177FB" w:rsidRDefault="00E66EC1" w:rsidP="00E66EC1">
      <w:pPr>
        <w:autoSpaceDE w:val="0"/>
        <w:autoSpaceDN w:val="0"/>
        <w:adjustRightInd w:val="0"/>
        <w:jc w:val="both"/>
        <w:rPr>
          <w:rFonts w:asciiTheme="minorBidi" w:hAnsiTheme="minorBidi" w:cstheme="minorBidi"/>
          <w:sz w:val="22"/>
          <w:szCs w:val="22"/>
          <w:shd w:val="clear" w:color="auto" w:fill="FFFFFF"/>
        </w:rPr>
      </w:pPr>
      <w:r>
        <w:rPr>
          <w:sz w:val="22"/>
        </w:rPr>
        <w:t xml:space="preserve">Il quadro complessivo degli indicatori di carriera rimane quindi critico e caratterizzato da forte variabilità, anche in ragione delle ridotte numerosità delle coorti. In particolare, </w:t>
      </w:r>
      <w:r>
        <w:rPr>
          <w:b/>
          <w:sz w:val="22"/>
        </w:rPr>
        <w:t>iC01</w:t>
      </w:r>
      <w:r>
        <w:rPr>
          <w:sz w:val="22"/>
        </w:rPr>
        <w:t xml:space="preserve">, </w:t>
      </w:r>
      <w:r>
        <w:rPr>
          <w:b/>
          <w:sz w:val="22"/>
        </w:rPr>
        <w:t>iC13</w:t>
      </w:r>
      <w:r>
        <w:rPr>
          <w:sz w:val="22"/>
        </w:rPr>
        <w:t>-</w:t>
      </w:r>
      <w:r>
        <w:rPr>
          <w:b/>
          <w:sz w:val="22"/>
        </w:rPr>
        <w:t>iC17</w:t>
      </w:r>
      <w:r>
        <w:rPr>
          <w:sz w:val="22"/>
        </w:rPr>
        <w:t xml:space="preserve">, </w:t>
      </w:r>
      <w:r>
        <w:rPr>
          <w:b/>
          <w:sz w:val="22"/>
        </w:rPr>
        <w:t>iC21</w:t>
      </w:r>
      <w:r>
        <w:rPr>
          <w:sz w:val="22"/>
        </w:rPr>
        <w:t xml:space="preserve">, </w:t>
      </w:r>
      <w:r>
        <w:rPr>
          <w:b/>
          <w:sz w:val="22"/>
        </w:rPr>
        <w:t>iC22</w:t>
      </w:r>
      <w:r>
        <w:rPr>
          <w:sz w:val="22"/>
        </w:rPr>
        <w:t xml:space="preserve"> e </w:t>
      </w:r>
      <w:r>
        <w:rPr>
          <w:b/>
          <w:sz w:val="22"/>
        </w:rPr>
        <w:t>iC24</w:t>
      </w:r>
      <w:r>
        <w:rPr>
          <w:sz w:val="22"/>
        </w:rPr>
        <w:t xml:space="preserve"> richiedono un monitoraggio sistematico e azioni mirate sul primo anno e sulla continuità delle carriere.</w:t>
      </w:r>
    </w:p>
    <w:p w14:paraId="16C167D4" w14:textId="77777777" w:rsidR="004A113D" w:rsidRPr="00ED7A6E" w:rsidRDefault="004A113D" w:rsidP="00060F9E">
      <w:pPr>
        <w:autoSpaceDE w:val="0"/>
        <w:autoSpaceDN w:val="0"/>
        <w:adjustRightInd w:val="0"/>
        <w:jc w:val="both"/>
        <w:rPr>
          <w:rFonts w:asciiTheme="minorBidi" w:hAnsiTheme="minorBidi" w:cstheme="minorBidi"/>
          <w:sz w:val="22"/>
          <w:szCs w:val="22"/>
        </w:rPr>
      </w:pPr>
    </w:p>
    <w:p w14:paraId="289BCE7D" w14:textId="7A589292" w:rsidR="004A113D" w:rsidRPr="00ED7A6E" w:rsidRDefault="005636C7" w:rsidP="00060F9E">
      <w:pPr>
        <w:autoSpaceDE w:val="0"/>
        <w:autoSpaceDN w:val="0"/>
        <w:adjustRightInd w:val="0"/>
        <w:jc w:val="both"/>
        <w:rPr>
          <w:rFonts w:asciiTheme="minorBidi" w:hAnsiTheme="minorBidi" w:cstheme="minorBidi"/>
          <w:b/>
          <w:bCs/>
          <w:sz w:val="22"/>
          <w:szCs w:val="22"/>
        </w:rPr>
      </w:pPr>
      <w:r w:rsidRPr="00ED7A6E">
        <w:rPr>
          <w:rFonts w:asciiTheme="minorBidi" w:hAnsiTheme="minorBidi" w:cstheme="minorBidi"/>
          <w:b/>
          <w:bCs/>
          <w:sz w:val="22"/>
          <w:szCs w:val="22"/>
        </w:rPr>
        <w:t>S</w:t>
      </w:r>
      <w:r w:rsidR="00B675B9" w:rsidRPr="00ED7A6E">
        <w:rPr>
          <w:rFonts w:asciiTheme="minorBidi" w:hAnsiTheme="minorBidi" w:cstheme="minorBidi"/>
          <w:b/>
          <w:bCs/>
          <w:sz w:val="22"/>
          <w:szCs w:val="22"/>
        </w:rPr>
        <w:t xml:space="preserve">ODDISFAZIONE E </w:t>
      </w:r>
      <w:r w:rsidR="004A113D" w:rsidRPr="00ED7A6E">
        <w:rPr>
          <w:rFonts w:asciiTheme="minorBidi" w:hAnsiTheme="minorBidi" w:cstheme="minorBidi"/>
          <w:b/>
          <w:bCs/>
          <w:sz w:val="22"/>
          <w:szCs w:val="22"/>
        </w:rPr>
        <w:t>OCCUPABILITÀ DE</w:t>
      </w:r>
      <w:r w:rsidR="00E716C6" w:rsidRPr="00ED7A6E">
        <w:rPr>
          <w:rFonts w:asciiTheme="minorBidi" w:hAnsiTheme="minorBidi" w:cstheme="minorBidi"/>
          <w:b/>
          <w:bCs/>
          <w:sz w:val="22"/>
          <w:szCs w:val="22"/>
        </w:rPr>
        <w:t>I LAUREATI</w:t>
      </w:r>
    </w:p>
    <w:p w14:paraId="311A7BBD" w14:textId="698597EE" w:rsidR="00984EA5" w:rsidRPr="00ED7A6E" w:rsidRDefault="00A00B3F" w:rsidP="000D2798">
      <w:pPr>
        <w:jc w:val="both"/>
        <w:rPr>
          <w:rFonts w:asciiTheme="minorBidi" w:hAnsiTheme="minorBidi" w:cstheme="minorBidi"/>
          <w:bCs/>
          <w:sz w:val="22"/>
          <w:szCs w:val="22"/>
          <w:shd w:val="clear" w:color="auto" w:fill="FFFFFF"/>
        </w:rPr>
      </w:pPr>
      <w:r>
        <w:rPr>
          <w:sz w:val="22"/>
        </w:rPr>
        <w:t xml:space="preserve">I dati disponibili non consentono ancora una valutazione statisticamente robusta della soddisfazione e dell'occupabilità dei laureati. Nel profilo </w:t>
      </w:r>
      <w:r>
        <w:rPr>
          <w:b/>
          <w:sz w:val="22"/>
        </w:rPr>
        <w:t>AlmaLaurea</w:t>
      </w:r>
      <w:r>
        <w:rPr>
          <w:sz w:val="22"/>
        </w:rPr>
        <w:t xml:space="preserve"> 2025 risulta un solo laureato e, per tutela della riservatezza, gli indicatori individuali non sono pubblicati; analogamente, nell'indagine occupazionale disponibile per il collettivo del CdS i valori sono oscurati per numerosità inferiore a cinque. Anche gli indicatori </w:t>
      </w:r>
      <w:r>
        <w:rPr>
          <w:b/>
          <w:sz w:val="22"/>
        </w:rPr>
        <w:t>ANVUR</w:t>
      </w:r>
      <w:r>
        <w:rPr>
          <w:sz w:val="22"/>
        </w:rPr>
        <w:t xml:space="preserve"> </w:t>
      </w:r>
      <w:r>
        <w:rPr>
          <w:b/>
          <w:sz w:val="22"/>
        </w:rPr>
        <w:t>iC06</w:t>
      </w:r>
      <w:r>
        <w:rPr>
          <w:sz w:val="22"/>
        </w:rPr>
        <w:t xml:space="preserve">, </w:t>
      </w:r>
      <w:r>
        <w:rPr>
          <w:b/>
          <w:sz w:val="22"/>
        </w:rPr>
        <w:t>iC18</w:t>
      </w:r>
      <w:r>
        <w:rPr>
          <w:sz w:val="22"/>
        </w:rPr>
        <w:t xml:space="preserve"> e </w:t>
      </w:r>
      <w:r>
        <w:rPr>
          <w:b/>
          <w:sz w:val="22"/>
        </w:rPr>
        <w:t>iC25</w:t>
      </w:r>
      <w:r>
        <w:rPr>
          <w:sz w:val="22"/>
        </w:rPr>
        <w:t xml:space="preserve"> risultano non disponibili. La sezione dovrà pertanto essere rivalutata quando saranno disponibili coorti più numerose.</w:t>
      </w:r>
    </w:p>
    <w:p w14:paraId="3CBCD716" w14:textId="77777777" w:rsidR="00060F9E" w:rsidRPr="00ED7A6E" w:rsidRDefault="00060F9E" w:rsidP="00060F9E">
      <w:pPr>
        <w:autoSpaceDE w:val="0"/>
        <w:autoSpaceDN w:val="0"/>
        <w:adjustRightInd w:val="0"/>
        <w:jc w:val="both"/>
        <w:rPr>
          <w:rFonts w:asciiTheme="minorBidi" w:hAnsiTheme="minorBidi" w:cstheme="minorBidi"/>
          <w:b/>
          <w:bCs/>
          <w:sz w:val="22"/>
          <w:szCs w:val="22"/>
        </w:rPr>
      </w:pPr>
    </w:p>
    <w:p w14:paraId="24F90E6C" w14:textId="77777777" w:rsidR="0055296B" w:rsidRPr="00ED7A6E" w:rsidRDefault="004A113D" w:rsidP="0055296B">
      <w:pPr>
        <w:autoSpaceDE w:val="0"/>
        <w:autoSpaceDN w:val="0"/>
        <w:adjustRightInd w:val="0"/>
        <w:jc w:val="both"/>
        <w:rPr>
          <w:rFonts w:asciiTheme="minorBidi" w:hAnsiTheme="minorBidi" w:cstheme="minorBidi"/>
          <w:b/>
          <w:bCs/>
          <w:sz w:val="22"/>
          <w:szCs w:val="22"/>
        </w:rPr>
      </w:pPr>
      <w:r w:rsidRPr="00ED7A6E">
        <w:rPr>
          <w:rFonts w:asciiTheme="minorBidi" w:hAnsiTheme="minorBidi" w:cstheme="minorBidi"/>
          <w:b/>
          <w:bCs/>
          <w:sz w:val="22"/>
          <w:szCs w:val="22"/>
        </w:rPr>
        <w:t>QUALIFICAZIONE DEL CORPO DOCENTE</w:t>
      </w:r>
      <w:r w:rsidR="00060F9E" w:rsidRPr="00ED7A6E">
        <w:rPr>
          <w:rFonts w:asciiTheme="minorBidi" w:hAnsiTheme="minorBidi" w:cstheme="minorBidi"/>
          <w:b/>
          <w:bCs/>
          <w:sz w:val="22"/>
          <w:szCs w:val="22"/>
        </w:rPr>
        <w:t xml:space="preserve"> E SOSTENIBILITA’</w:t>
      </w:r>
    </w:p>
    <w:p w14:paraId="08D08769" w14:textId="77777777" w:rsidR="002E2F27" w:rsidRPr="00D969EE" w:rsidRDefault="0055296B" w:rsidP="002E2F27">
      <w:pPr>
        <w:autoSpaceDE w:val="0"/>
        <w:autoSpaceDN w:val="0"/>
        <w:adjustRightInd w:val="0"/>
        <w:jc w:val="both"/>
        <w:rPr>
          <w:rFonts w:asciiTheme="minorBidi" w:hAnsiTheme="minorBidi" w:cstheme="minorBidi"/>
          <w:sz w:val="22"/>
          <w:szCs w:val="22"/>
        </w:rPr>
      </w:pPr>
      <w:r>
        <w:rPr>
          <w:sz w:val="22"/>
        </w:rPr>
        <w:t>Nel triennio 2023/24-2025/26 il rapporto studenti regolari/docenti di ruolo (</w:t>
      </w:r>
      <w:r>
        <w:rPr>
          <w:b/>
          <w:sz w:val="22"/>
        </w:rPr>
        <w:t>iC05</w:t>
      </w:r>
      <w:r>
        <w:rPr>
          <w:sz w:val="22"/>
        </w:rPr>
        <w:t>) è pari a 4,6, 4,3 e 4,7. I valori restano nettamente inferiori ai benchmark del 2025/26 (12,5 per lo stesso Ateneo, 12,4 per l'area geografica e 11,7 a livello nazionale), indicando una favorevole disponibilità relativa di docenza rispetto agli studenti regolari.</w:t>
      </w:r>
    </w:p>
    <w:p w14:paraId="72FF201B" w14:textId="77777777" w:rsidR="002E2F27" w:rsidRPr="00D969EE" w:rsidRDefault="0055296B" w:rsidP="002E2F27">
      <w:pPr>
        <w:autoSpaceDE w:val="0"/>
        <w:autoSpaceDN w:val="0"/>
        <w:adjustRightInd w:val="0"/>
        <w:jc w:val="both"/>
        <w:rPr>
          <w:rFonts w:asciiTheme="minorBidi" w:hAnsiTheme="minorBidi" w:cstheme="minorBidi"/>
          <w:sz w:val="22"/>
          <w:szCs w:val="22"/>
        </w:rPr>
      </w:pPr>
      <w:r>
        <w:rPr>
          <w:sz w:val="22"/>
        </w:rPr>
        <w:t>La percentuale dei docenti di riferimento appartenenti a settori scientifico-disciplinari di base e caratterizzanti (</w:t>
      </w:r>
      <w:r>
        <w:rPr>
          <w:b/>
          <w:sz w:val="22"/>
        </w:rPr>
        <w:t>iC08</w:t>
      </w:r>
      <w:r>
        <w:rPr>
          <w:sz w:val="22"/>
        </w:rPr>
        <w:t>) rimane elevata, pur con lieve riduzione: 90,0% nel 2023/24, 89,5% nel 2024/25 e 87,5% nel 2025/26. Il dato più recente è inferiore alle medie di Ateneo (91,7%), area geografica (94,7%) e nazionale (96,3%), ma resta ampiamente superiore alla soglia minima di riferimento.</w:t>
      </w:r>
    </w:p>
    <w:p w14:paraId="6B2C46DD" w14:textId="77777777" w:rsidR="005D04F4" w:rsidRPr="00D969EE" w:rsidRDefault="0055296B" w:rsidP="005D04F4">
      <w:pPr>
        <w:autoSpaceDE w:val="0"/>
        <w:autoSpaceDN w:val="0"/>
        <w:adjustRightInd w:val="0"/>
        <w:jc w:val="both"/>
        <w:rPr>
          <w:rFonts w:asciiTheme="minorBidi" w:hAnsiTheme="minorBidi" w:cstheme="minorBidi"/>
          <w:b/>
          <w:bCs/>
          <w:sz w:val="22"/>
          <w:szCs w:val="22"/>
        </w:rPr>
      </w:pPr>
      <w:r>
        <w:rPr>
          <w:sz w:val="22"/>
        </w:rPr>
        <w:t xml:space="preserve">Molto positivo l'indicatore </w:t>
      </w:r>
      <w:r>
        <w:rPr>
          <w:b/>
          <w:sz w:val="22"/>
        </w:rPr>
        <w:t>iC19</w:t>
      </w:r>
      <w:r>
        <w:rPr>
          <w:sz w:val="22"/>
        </w:rPr>
        <w:t>: le ore di docenza erogate da docenti assunti a tempo indeterminato sono pari all'89,8% nel 2023/24, all'88,5% nel 2024/25 e al 97,9% nel 2025/26. Il dato più recente supera nettamente le medie dello stesso Ateneo (85,5%), dell'area geografica (79,0%) e nazionale (75,8%).</w:t>
      </w:r>
    </w:p>
    <w:p w14:paraId="40D4A7F6" w14:textId="5685F26A" w:rsidR="00DC10F7" w:rsidRPr="00D969EE" w:rsidRDefault="0055296B" w:rsidP="00DC10F7">
      <w:pPr>
        <w:autoSpaceDE w:val="0"/>
        <w:autoSpaceDN w:val="0"/>
        <w:adjustRightInd w:val="0"/>
        <w:jc w:val="both"/>
        <w:rPr>
          <w:rFonts w:asciiTheme="minorBidi" w:hAnsiTheme="minorBidi" w:cstheme="minorBidi"/>
          <w:sz w:val="22"/>
          <w:szCs w:val="22"/>
        </w:rPr>
      </w:pPr>
      <w:r>
        <w:rPr>
          <w:sz w:val="22"/>
        </w:rPr>
        <w:t>La percentuale tutor/studenti iscritti (</w:t>
      </w:r>
      <w:r>
        <w:rPr>
          <w:b/>
          <w:sz w:val="22"/>
        </w:rPr>
        <w:t>iC20</w:t>
      </w:r>
      <w:r>
        <w:rPr>
          <w:sz w:val="22"/>
        </w:rPr>
        <w:t>) è pari al 10,9% nel 2023/24, 11,2% nel 2024/25 e 0% nel 2025/26. La discontinuità del dato più recente, che coincide con valori nulli anche nei benchmark per i corsi a distanza, suggerisce di verificare la corretta registrazione amministrativa dei tutor prima di trarre conclusioni sulla reale disponibilità del servizio.</w:t>
      </w:r>
    </w:p>
    <w:p w14:paraId="4772DB36" w14:textId="3BF7354D" w:rsidR="00DF1CC5" w:rsidRPr="00D969EE" w:rsidRDefault="0055296B" w:rsidP="00DF1CC5">
      <w:pPr>
        <w:autoSpaceDE w:val="0"/>
        <w:autoSpaceDN w:val="0"/>
        <w:adjustRightInd w:val="0"/>
        <w:jc w:val="both"/>
        <w:rPr>
          <w:rFonts w:asciiTheme="minorBidi" w:hAnsiTheme="minorBidi" w:cstheme="minorBidi"/>
          <w:sz w:val="22"/>
          <w:szCs w:val="22"/>
        </w:rPr>
      </w:pPr>
      <w:r>
        <w:rPr>
          <w:sz w:val="22"/>
        </w:rPr>
        <w:t>La percentuale di studenti che proseguono la carriera universitaria al secondo anno (</w:t>
      </w:r>
      <w:r>
        <w:rPr>
          <w:b/>
          <w:sz w:val="22"/>
        </w:rPr>
        <w:t>iC21</w:t>
      </w:r>
      <w:r>
        <w:rPr>
          <w:sz w:val="22"/>
        </w:rPr>
        <w:t>) si attesta al 55,0% nel 2024/25, rispetto al 50,0% del 2023/24 e al 54,5% del 2022/23. Il dato resta inferiore alle medie dello stesso Ateneo (84,0%), dell'area geografica (86,7%) e nazionale (88,0%).</w:t>
      </w:r>
    </w:p>
    <w:p w14:paraId="6A16DA16" w14:textId="0F9E5698" w:rsidR="00931F2C" w:rsidRPr="00D969EE" w:rsidRDefault="0055296B" w:rsidP="00931F2C">
      <w:pPr>
        <w:autoSpaceDE w:val="0"/>
        <w:autoSpaceDN w:val="0"/>
        <w:adjustRightInd w:val="0"/>
        <w:jc w:val="both"/>
        <w:rPr>
          <w:rFonts w:asciiTheme="minorBidi" w:hAnsiTheme="minorBidi" w:cstheme="minorBidi"/>
          <w:sz w:val="22"/>
          <w:szCs w:val="22"/>
        </w:rPr>
      </w:pPr>
      <w:r>
        <w:rPr>
          <w:sz w:val="22"/>
        </w:rPr>
        <w:t>La percentuale di immatricolati che si laureano entro la durata normale (</w:t>
      </w:r>
      <w:r>
        <w:rPr>
          <w:b/>
          <w:sz w:val="22"/>
        </w:rPr>
        <w:t>iC22</w:t>
      </w:r>
      <w:r>
        <w:rPr>
          <w:sz w:val="22"/>
        </w:rPr>
        <w:t>) rimane pari a 0% nel 2024/25. Il confronto con i valori medi dello stesso Ateneo (7,9%), dell'area geografica (22,5%) e nazionali (32,2%) conferma una criticità da monitorare, tenendo conto delle ridotte numerosità del CdS.</w:t>
      </w:r>
    </w:p>
    <w:p w14:paraId="55CB6C72" w14:textId="77777777" w:rsidR="007953E9" w:rsidRPr="00D969EE" w:rsidRDefault="0055296B" w:rsidP="007953E9">
      <w:pPr>
        <w:autoSpaceDE w:val="0"/>
        <w:autoSpaceDN w:val="0"/>
        <w:adjustRightInd w:val="0"/>
        <w:jc w:val="both"/>
        <w:rPr>
          <w:rFonts w:asciiTheme="minorBidi" w:hAnsiTheme="minorBidi" w:cstheme="minorBidi"/>
          <w:sz w:val="22"/>
          <w:szCs w:val="22"/>
        </w:rPr>
      </w:pPr>
      <w:r>
        <w:rPr>
          <w:sz w:val="22"/>
        </w:rPr>
        <w:t>La percentuale di immatricolati che proseguono al secondo anno in un differente CdS dello stesso Ateneo (</w:t>
      </w:r>
      <w:r>
        <w:rPr>
          <w:b/>
          <w:sz w:val="22"/>
        </w:rPr>
        <w:t>iC23</w:t>
      </w:r>
      <w:r>
        <w:rPr>
          <w:sz w:val="22"/>
        </w:rPr>
        <w:t>) passa dallo 0% nel 2023/24 al 10,0% nel 2024/25. Il dato più recente è superiore alle medie dello stesso Ateneo (8,2%), dell'area geografica (7,2%) e nazionale (5,6%).</w:t>
      </w:r>
    </w:p>
    <w:p w14:paraId="612EBFFA" w14:textId="61BA992F" w:rsidR="00DF4238" w:rsidRPr="00D969EE" w:rsidRDefault="0055296B" w:rsidP="00DF4238">
      <w:pPr>
        <w:autoSpaceDE w:val="0"/>
        <w:autoSpaceDN w:val="0"/>
        <w:adjustRightInd w:val="0"/>
        <w:jc w:val="both"/>
        <w:rPr>
          <w:rFonts w:asciiTheme="minorBidi" w:hAnsiTheme="minorBidi" w:cstheme="minorBidi"/>
          <w:sz w:val="22"/>
          <w:szCs w:val="22"/>
        </w:rPr>
      </w:pPr>
      <w:r>
        <w:rPr>
          <w:sz w:val="22"/>
        </w:rPr>
        <w:t>L'indicatore sugli abbandoni dopo N+1 anni (</w:t>
      </w:r>
      <w:r>
        <w:rPr>
          <w:b/>
          <w:sz w:val="22"/>
        </w:rPr>
        <w:t>iC24</w:t>
      </w:r>
      <w:r>
        <w:rPr>
          <w:sz w:val="22"/>
        </w:rPr>
        <w:t>) resta molto elevato: 88,9% nel 2022/23, 96,3% nel 2023/24 e 87,9% nel 2024/25. Pur registrandosi una riduzione nell'ultimo anno, il valore rimane sensibilmente superiore ai benchmark di Ateneo (55,2%), area geografica (43,3%) e nazionale (36,8%).</w:t>
      </w:r>
    </w:p>
    <w:p w14:paraId="476C8FA6" w14:textId="08C92FE7" w:rsidR="00DF4238" w:rsidRPr="00D969EE" w:rsidRDefault="0055296B" w:rsidP="00DF4238">
      <w:pPr>
        <w:autoSpaceDE w:val="0"/>
        <w:autoSpaceDN w:val="0"/>
        <w:adjustRightInd w:val="0"/>
        <w:jc w:val="both"/>
        <w:rPr>
          <w:rFonts w:asciiTheme="minorBidi" w:hAnsiTheme="minorBidi" w:cstheme="minorBidi"/>
          <w:sz w:val="22"/>
          <w:szCs w:val="22"/>
        </w:rPr>
      </w:pPr>
      <w:r>
        <w:rPr>
          <w:sz w:val="22"/>
        </w:rPr>
        <w:t>Il rapporto studenti iscritti/docenti complessivo (</w:t>
      </w:r>
      <w:r>
        <w:rPr>
          <w:b/>
          <w:sz w:val="22"/>
        </w:rPr>
        <w:t>iC27</w:t>
      </w:r>
      <w:r>
        <w:rPr>
          <w:sz w:val="22"/>
        </w:rPr>
        <w:t>) è contenuto e sostanzialmente stabile: 8,2 nel 2023/24, 7,5 nel 2024/25 e 8,4 nel 2025/26. Il valore più recente è molto inferiore alle medie dello stesso Ateneo (29,9), dell'area geografica (32,0) e nazionale (34,8).</w:t>
      </w:r>
    </w:p>
    <w:p w14:paraId="3D1FF7E2" w14:textId="7A633E28" w:rsidR="0055296B" w:rsidRPr="00D969EE" w:rsidRDefault="00DF4238" w:rsidP="00DF4238">
      <w:pPr>
        <w:autoSpaceDE w:val="0"/>
        <w:autoSpaceDN w:val="0"/>
        <w:adjustRightInd w:val="0"/>
        <w:jc w:val="both"/>
        <w:rPr>
          <w:rFonts w:asciiTheme="minorBidi" w:hAnsiTheme="minorBidi" w:cstheme="minorBidi"/>
          <w:sz w:val="22"/>
          <w:szCs w:val="22"/>
        </w:rPr>
      </w:pPr>
      <w:r>
        <w:rPr>
          <w:sz w:val="22"/>
        </w:rPr>
        <w:t>Il rapporto studenti iscritti al primo anno/docenti degli insegnamenti del primo anno (</w:t>
      </w:r>
      <w:r>
        <w:rPr>
          <w:b/>
          <w:sz w:val="22"/>
        </w:rPr>
        <w:t>iC28</w:t>
      </w:r>
      <w:r>
        <w:rPr>
          <w:sz w:val="22"/>
        </w:rPr>
        <w:t>) è pari a 12,0 nel 2023/24, 10,5 nel 2024/25 e 11,8 nel 2025/26. Anche questo indicatore rimane molto inferiore ai benchmark più recenti: 33,4 per lo stesso Ateneo, 31,5 per l'area geografica e 35,7 a livello nazionale.</w:t>
      </w:r>
    </w:p>
    <w:p w14:paraId="1F9E73CA" w14:textId="77777777" w:rsidR="00AD7D0A" w:rsidRPr="00ED7A6E" w:rsidRDefault="00AD7D0A" w:rsidP="00060F9E">
      <w:pPr>
        <w:autoSpaceDE w:val="0"/>
        <w:autoSpaceDN w:val="0"/>
        <w:adjustRightInd w:val="0"/>
        <w:jc w:val="both"/>
        <w:rPr>
          <w:rFonts w:asciiTheme="minorBidi" w:hAnsiTheme="minorBidi" w:cstheme="minorBidi"/>
          <w:sz w:val="22"/>
          <w:szCs w:val="22"/>
        </w:rPr>
      </w:pPr>
    </w:p>
    <w:p w14:paraId="36C0F97D" w14:textId="77777777" w:rsidR="0061113F" w:rsidRPr="00ED7A6E" w:rsidRDefault="0061113F" w:rsidP="0061113F">
      <w:pPr>
        <w:autoSpaceDE w:val="0"/>
        <w:autoSpaceDN w:val="0"/>
        <w:adjustRightInd w:val="0"/>
        <w:jc w:val="both"/>
        <w:rPr>
          <w:rFonts w:asciiTheme="minorBidi" w:hAnsiTheme="minorBidi" w:cstheme="minorBidi"/>
          <w:b/>
          <w:bCs/>
          <w:sz w:val="22"/>
          <w:szCs w:val="22"/>
        </w:rPr>
      </w:pPr>
      <w:r w:rsidRPr="00ED7A6E">
        <w:rPr>
          <w:rFonts w:asciiTheme="minorBidi" w:hAnsiTheme="minorBidi" w:cstheme="minorBidi"/>
          <w:b/>
          <w:bCs/>
          <w:sz w:val="22"/>
          <w:szCs w:val="22"/>
        </w:rPr>
        <w:t>GRUPPO B – INDICATORI INTERNAZIONALIZZAZIONE (DM987/2017 e DM6/2019, ALLEGATO E)</w:t>
      </w:r>
    </w:p>
    <w:p w14:paraId="52E5FB3A" w14:textId="0F1AA39A" w:rsidR="00060F9E" w:rsidRPr="00ED7A6E" w:rsidRDefault="00060F9E" w:rsidP="00060F9E">
      <w:pPr>
        <w:autoSpaceDE w:val="0"/>
        <w:autoSpaceDN w:val="0"/>
        <w:adjustRightInd w:val="0"/>
        <w:jc w:val="both"/>
        <w:rPr>
          <w:rFonts w:asciiTheme="minorBidi" w:hAnsiTheme="minorBidi" w:cstheme="minorBidi"/>
          <w:sz w:val="22"/>
          <w:szCs w:val="22"/>
          <w:shd w:val="clear" w:color="auto" w:fill="FFFFFF"/>
        </w:rPr>
      </w:pPr>
      <w:r>
        <w:rPr>
          <w:sz w:val="22"/>
        </w:rPr>
        <w:t xml:space="preserve">L'internazionalizzazione presenta un primo segnale molto positivo sul versante dei CFU acquisiti all'estero. L'indicatore </w:t>
      </w:r>
      <w:r>
        <w:rPr>
          <w:b/>
          <w:sz w:val="22"/>
        </w:rPr>
        <w:t>iC10</w:t>
      </w:r>
      <w:r>
        <w:rPr>
          <w:sz w:val="22"/>
        </w:rPr>
        <w:t xml:space="preserve">, rimasto a 0‰ nel 2022/23 e nel 2023/24, sale a 38,5‰ nel 2024/25; nello stesso anno le medie di Ateneo, area geografica e nazionale sono rispettivamente 6,7‰, 4,4‰ e 7,5‰. Anche </w:t>
      </w:r>
      <w:r>
        <w:rPr>
          <w:b/>
          <w:sz w:val="22"/>
        </w:rPr>
        <w:t>iC10BIS</w:t>
      </w:r>
      <w:r>
        <w:rPr>
          <w:sz w:val="22"/>
        </w:rPr>
        <w:t xml:space="preserve"> raggiunge 25,4‰ nel 2024/25.</w:t>
      </w:r>
    </w:p>
    <w:p w14:paraId="5BE3B304" w14:textId="12837DB6" w:rsidR="00060F9E" w:rsidRPr="00ED7A6E" w:rsidRDefault="00AB1A8D" w:rsidP="00060F9E">
      <w:pPr>
        <w:autoSpaceDE w:val="0"/>
        <w:autoSpaceDN w:val="0"/>
        <w:adjustRightInd w:val="0"/>
        <w:jc w:val="both"/>
        <w:rPr>
          <w:rFonts w:asciiTheme="minorBidi" w:hAnsiTheme="minorBidi" w:cstheme="minorBidi"/>
          <w:sz w:val="22"/>
          <w:szCs w:val="22"/>
          <w:shd w:val="clear" w:color="auto" w:fill="FFFFFF"/>
        </w:rPr>
      </w:pPr>
      <w:r>
        <w:rPr>
          <w:sz w:val="22"/>
        </w:rPr>
        <w:t xml:space="preserve">Per </w:t>
      </w:r>
      <w:r>
        <w:rPr>
          <w:b/>
          <w:sz w:val="22"/>
        </w:rPr>
        <w:t>iC12</w:t>
      </w:r>
      <w:r>
        <w:rPr>
          <w:sz w:val="22"/>
        </w:rPr>
        <w:t>, relativo agli studenti iscritti al primo anno che hanno conseguito il precedente titolo di studio all'estero, il valore è 17,5‰ nel 2023/24, 16,1‰ nel 2024/25 e 18,5‰ nel 2025/26. Il dato più recente rimane inferiore ai benchmark (221,4‰ Ateneo, 113,9‰ area geografica, 58,7‰ nazionale), ma mostra una sostanziale stabilità nel triennio.</w:t>
      </w:r>
    </w:p>
    <w:p w14:paraId="49577D37" w14:textId="2EBC7F5F" w:rsidR="00060F9E" w:rsidRPr="00ED7A6E" w:rsidRDefault="00F32908" w:rsidP="00060F9E">
      <w:pPr>
        <w:autoSpaceDE w:val="0"/>
        <w:autoSpaceDN w:val="0"/>
        <w:adjustRightInd w:val="0"/>
        <w:jc w:val="both"/>
        <w:rPr>
          <w:rFonts w:asciiTheme="minorBidi" w:hAnsiTheme="minorBidi" w:cstheme="minorBidi"/>
          <w:sz w:val="22"/>
          <w:szCs w:val="22"/>
          <w:shd w:val="clear" w:color="auto" w:fill="FFFFFF"/>
        </w:rPr>
      </w:pPr>
      <w:r>
        <w:rPr>
          <w:sz w:val="22"/>
        </w:rPr>
        <w:t xml:space="preserve">Per </w:t>
      </w:r>
      <w:r>
        <w:rPr>
          <w:b/>
          <w:sz w:val="22"/>
        </w:rPr>
        <w:t>iC11</w:t>
      </w:r>
      <w:r>
        <w:rPr>
          <w:sz w:val="22"/>
        </w:rPr>
        <w:t>, percentuale di laureati entro la durata normale che hanno acquisito almeno 12 CFU all'estero, resta disponibile soltanto il dato 2022/23, pari a 0‰; non vi sono numerosità sufficienti per una valutazione temporale significativa.</w:t>
      </w:r>
    </w:p>
    <w:p w14:paraId="59D03A57" w14:textId="3D487257" w:rsidR="00611598" w:rsidRPr="00ED7A6E" w:rsidRDefault="00827FFA" w:rsidP="00611598">
      <w:pPr>
        <w:autoSpaceDE w:val="0"/>
        <w:autoSpaceDN w:val="0"/>
        <w:adjustRightInd w:val="0"/>
        <w:jc w:val="both"/>
        <w:rPr>
          <w:rFonts w:asciiTheme="minorBidi" w:hAnsiTheme="minorBidi" w:cstheme="minorBidi"/>
          <w:color w:val="333333"/>
          <w:sz w:val="22"/>
          <w:szCs w:val="22"/>
          <w:shd w:val="clear" w:color="auto" w:fill="FFFFFF"/>
        </w:rPr>
      </w:pPr>
      <w:r>
        <w:rPr>
          <w:sz w:val="22"/>
        </w:rPr>
        <w:t xml:space="preserve">È bene considerare che il Corso di Laurea prevalentemente a distanza è scelto tipicamente anche da studenti lavoratori e/o con minore disponibilità agli spostamenti rispetto all'omologo corso frontale. Ciò può limitare la mobilità fisica internazionale; il forte incremento di </w:t>
      </w:r>
      <w:r>
        <w:rPr>
          <w:b/>
          <w:sz w:val="22"/>
        </w:rPr>
        <w:t>iC10</w:t>
      </w:r>
      <w:r>
        <w:rPr>
          <w:sz w:val="22"/>
        </w:rPr>
        <w:t xml:space="preserve"> nel 2024/25 costituisce tuttavia un segnale incoraggiante da consolidare.</w:t>
      </w:r>
    </w:p>
    <w:p w14:paraId="5A9BF0A2" w14:textId="77777777" w:rsidR="00060F9E" w:rsidRPr="00060F9E" w:rsidRDefault="00060F9E" w:rsidP="00060F9E">
      <w:pPr>
        <w:jc w:val="both"/>
        <w:rPr>
          <w:rFonts w:ascii="Arial" w:hAnsi="Arial" w:cs="Arial"/>
          <w:sz w:val="22"/>
          <w:szCs w:val="22"/>
        </w:rPr>
      </w:pPr>
    </w:p>
    <w:p w14:paraId="43C9F0AE" w14:textId="6CDE6EF8" w:rsidR="00AD7D0A" w:rsidRPr="00060F9E" w:rsidRDefault="00F06763" w:rsidP="00060F9E">
      <w:pPr>
        <w:jc w:val="both"/>
        <w:rPr>
          <w:rFonts w:ascii="Arial" w:hAnsi="Arial" w:cs="Arial"/>
          <w:b/>
          <w:bCs/>
          <w:sz w:val="22"/>
          <w:szCs w:val="22"/>
        </w:rPr>
      </w:pPr>
      <w:r w:rsidRPr="00060F9E">
        <w:rPr>
          <w:rFonts w:ascii="Arial" w:hAnsi="Arial" w:cs="Arial"/>
          <w:b/>
          <w:bCs/>
          <w:sz w:val="22"/>
          <w:szCs w:val="22"/>
        </w:rPr>
        <w:t>CONCLUSIONI</w:t>
      </w:r>
    </w:p>
    <w:p w14:paraId="393EBFE2" w14:textId="7688161E" w:rsidR="00A8383D" w:rsidRDefault="00792726" w:rsidP="00060F9E">
      <w:pPr>
        <w:jc w:val="both"/>
        <w:rPr>
          <w:rStyle w:val="eop"/>
          <w:rFonts w:ascii="Arial" w:hAnsi="Arial" w:cs="Arial"/>
          <w:color w:val="000000"/>
          <w:sz w:val="22"/>
          <w:szCs w:val="22"/>
          <w:shd w:val="clear" w:color="auto" w:fill="FFFFFF"/>
        </w:rPr>
      </w:pPr>
      <w:r>
        <w:rPr>
          <w:rFonts w:ascii="Arial" w:hAnsi="Arial"/>
          <w:sz w:val="22"/>
        </w:rPr>
        <w:t>A sette anni dalla prima attivazione del Corso di Laurea in Ingegneria Gestionale prevalentemente a distanza, il quadro informativo è più ampio ma resta condizionato da coorti numericamente ridotte. L'attrattività complessiva mostra una lieve flessione nell'ultimo anno, mentre migliora nettamente la capacità di attrarre studenti da fuori Regione. Gli indicatori di progressione delle carriere e di conseguimento dei CFU restano la principale area di criticità, con livelli molto inferiori ai benchmark e tassi di abbandono ancora elevati. Sono invece molto positivi gli indicatori relativi alla disponibilità e qualificazione del corpo docente e, per la prima volta, emerge un segnale significativo di internazionalizzazione attraverso i CFU acquisiti all'estero. I dati su soddisfazione e occupabilità dei laureati non sono ancora valutabili in modo robusto per la ridotta numerosità dei collettivi.</w:t>
      </w:r>
    </w:p>
    <w:p w14:paraId="7BC9EF4D" w14:textId="77777777" w:rsidR="00792726" w:rsidRPr="00060F9E" w:rsidRDefault="00792726" w:rsidP="00060F9E">
      <w:pPr>
        <w:jc w:val="both"/>
        <w:rPr>
          <w:rFonts w:ascii="Arial" w:hAnsi="Arial" w:cs="Arial"/>
          <w:color w:val="000000"/>
          <w:sz w:val="22"/>
          <w:szCs w:val="22"/>
        </w:rPr>
      </w:pPr>
    </w:p>
    <w:p w14:paraId="71736A81" w14:textId="0EE3B5EC" w:rsidR="00A8383D" w:rsidRPr="003608A6" w:rsidRDefault="00A8383D" w:rsidP="00060F9E">
      <w:pPr>
        <w:jc w:val="both"/>
        <w:rPr>
          <w:rFonts w:ascii="Arial" w:hAnsi="Arial" w:cs="Arial"/>
          <w:b/>
          <w:bCs/>
          <w:sz w:val="22"/>
          <w:szCs w:val="22"/>
        </w:rPr>
      </w:pPr>
      <w:r w:rsidRPr="003608A6">
        <w:rPr>
          <w:rFonts w:ascii="Arial" w:hAnsi="Arial" w:cs="Arial"/>
          <w:b/>
          <w:bCs/>
          <w:sz w:val="22"/>
          <w:szCs w:val="22"/>
        </w:rPr>
        <w:t>MONITORAGGIO DE</w:t>
      </w:r>
      <w:r w:rsidR="00D9142E" w:rsidRPr="003608A6">
        <w:rPr>
          <w:rFonts w:ascii="Arial" w:hAnsi="Arial" w:cs="Arial"/>
          <w:b/>
          <w:bCs/>
          <w:sz w:val="22"/>
          <w:szCs w:val="22"/>
        </w:rPr>
        <w:t>LLE INIZIATIVE DI MIGLIORAMENTO PRECEDENTI</w:t>
      </w:r>
      <w:r w:rsidR="00A309A4" w:rsidRPr="003608A6">
        <w:rPr>
          <w:rFonts w:ascii="Arial" w:hAnsi="Arial" w:cs="Arial"/>
          <w:b/>
          <w:bCs/>
          <w:sz w:val="22"/>
          <w:szCs w:val="22"/>
        </w:rPr>
        <w:t xml:space="preserve"> E VALUTAZIONE DI NUOVE INIZIATIVE</w:t>
      </w:r>
    </w:p>
    <w:p w14:paraId="50C6E398" w14:textId="4101DCAA" w:rsidR="00EF1885" w:rsidRPr="003608A6" w:rsidRDefault="00EF1885" w:rsidP="00060F9E">
      <w:pPr>
        <w:jc w:val="both"/>
        <w:rPr>
          <w:rFonts w:ascii="Arial" w:hAnsi="Arial" w:cs="Arial"/>
          <w:b/>
          <w:bCs/>
          <w:sz w:val="22"/>
          <w:szCs w:val="22"/>
        </w:rPr>
      </w:pPr>
    </w:p>
    <w:p w14:paraId="332A45F3" w14:textId="5C3EB44B" w:rsidR="00984EA5" w:rsidRPr="003608A6" w:rsidRDefault="00984EA5" w:rsidP="00984EA5">
      <w:pPr>
        <w:jc w:val="both"/>
        <w:rPr>
          <w:rFonts w:ascii="Arial" w:eastAsia="Arial" w:hAnsi="Arial" w:cs="Arial"/>
          <w:b/>
          <w:bCs/>
          <w:sz w:val="22"/>
          <w:szCs w:val="22"/>
          <w:lang w:val="it"/>
        </w:rPr>
      </w:pPr>
      <w:r>
        <w:rPr>
          <w:rFonts w:ascii="Arial" w:hAnsi="Arial"/>
          <w:sz w:val="22"/>
        </w:rPr>
        <w:t>Obiettivo n.1 (Obiettivo n.1 SMA 2025)</w:t>
      </w:r>
    </w:p>
    <w:p w14:paraId="77CA4754" w14:textId="77777777" w:rsidR="00984EA5" w:rsidRPr="003608A6" w:rsidRDefault="00984EA5" w:rsidP="00984EA5">
      <w:pPr>
        <w:jc w:val="both"/>
        <w:rPr>
          <w:rFonts w:ascii="Arial" w:eastAsia="Arial" w:hAnsi="Arial" w:cs="Arial"/>
          <w:sz w:val="22"/>
          <w:szCs w:val="22"/>
          <w:lang w:val="it"/>
        </w:rPr>
      </w:pPr>
      <w:r>
        <w:rPr>
          <w:rFonts w:ascii="Arial" w:hAnsi="Arial"/>
          <w:sz w:val="22"/>
        </w:rPr>
        <w:t>Aumentare e consolidare l’attrattività del corso.</w:t>
      </w:r>
    </w:p>
    <w:p w14:paraId="261F495E" w14:textId="77777777" w:rsidR="00984EA5" w:rsidRPr="003608A6" w:rsidRDefault="00984EA5" w:rsidP="00984EA5">
      <w:pPr>
        <w:jc w:val="both"/>
        <w:rPr>
          <w:rFonts w:ascii="Arial" w:eastAsia="Arial" w:hAnsi="Arial" w:cs="Arial"/>
          <w:b/>
          <w:bCs/>
          <w:lang w:val="it"/>
        </w:rPr>
      </w:pPr>
      <w:r w:rsidRPr="003608A6">
        <w:rPr>
          <w:rFonts w:ascii="Arial" w:eastAsia="Arial" w:hAnsi="Arial" w:cs="Arial"/>
          <w:b/>
          <w:bCs/>
          <w:sz w:val="22"/>
          <w:szCs w:val="22"/>
          <w:lang w:val="it"/>
        </w:rPr>
        <w:t>Azioni di miglioramento intraprese:</w:t>
      </w:r>
    </w:p>
    <w:p w14:paraId="194E6BB3" w14:textId="6699E189" w:rsidR="00984EA5" w:rsidRPr="003608A6" w:rsidRDefault="00984EA5" w:rsidP="00984EA5">
      <w:pPr>
        <w:jc w:val="both"/>
        <w:rPr>
          <w:rFonts w:ascii="Arial" w:eastAsia="Arial" w:hAnsi="Arial" w:cs="Arial"/>
          <w:sz w:val="22"/>
          <w:szCs w:val="22"/>
          <w:lang w:val="it"/>
        </w:rPr>
      </w:pPr>
      <w:r>
        <w:rPr>
          <w:rFonts w:ascii="Arial" w:hAnsi="Arial"/>
          <w:sz w:val="22"/>
        </w:rPr>
        <w:t>Il CdS continua ad effettuare azioni di promozione del Corso di Studi, con particolare attenzione alla specificità della modalità prevalentemente a distanza e alla capacità di raggiungere studenti residenti fuori Regione.</w:t>
      </w:r>
    </w:p>
    <w:p w14:paraId="70866F9E" w14:textId="77777777" w:rsidR="00984EA5" w:rsidRPr="003608A6" w:rsidRDefault="00984EA5" w:rsidP="00984EA5">
      <w:pPr>
        <w:jc w:val="both"/>
        <w:rPr>
          <w:rFonts w:ascii="Arial" w:eastAsia="Arial" w:hAnsi="Arial" w:cs="Arial"/>
          <w:b/>
          <w:bCs/>
          <w:sz w:val="22"/>
          <w:szCs w:val="22"/>
          <w:lang w:val="it"/>
        </w:rPr>
      </w:pPr>
      <w:r w:rsidRPr="003608A6">
        <w:rPr>
          <w:rFonts w:ascii="Arial" w:eastAsia="Arial" w:hAnsi="Arial" w:cs="Arial"/>
          <w:b/>
          <w:bCs/>
          <w:sz w:val="22"/>
          <w:szCs w:val="22"/>
          <w:lang w:val="it"/>
        </w:rPr>
        <w:t xml:space="preserve">Stato di avanzamento: </w:t>
      </w:r>
    </w:p>
    <w:p w14:paraId="7074E613" w14:textId="3C605508" w:rsidR="00984EA5" w:rsidRPr="003608A6" w:rsidRDefault="00984EA5" w:rsidP="00984EA5">
      <w:pPr>
        <w:jc w:val="both"/>
        <w:rPr>
          <w:rFonts w:ascii="Arial" w:eastAsia="Arial" w:hAnsi="Arial" w:cs="Arial"/>
          <w:sz w:val="22"/>
          <w:szCs w:val="22"/>
          <w:lang w:val="it"/>
        </w:rPr>
      </w:pPr>
      <w:r>
        <w:rPr>
          <w:rFonts w:ascii="Arial" w:hAnsi="Arial"/>
          <w:sz w:val="22"/>
        </w:rPr>
        <w:t>Le azioni di orientamento e promozione sono proseguite nell'a.a. 2025/26 in collaborazione con il personale addetto alle attività di orientamento del CdS e della Macroarea di Ingegneria.</w:t>
      </w:r>
    </w:p>
    <w:p w14:paraId="4FAB5379" w14:textId="77777777" w:rsidR="00984EA5" w:rsidRPr="003608A6" w:rsidRDefault="00984EA5" w:rsidP="00984EA5">
      <w:pPr>
        <w:jc w:val="both"/>
        <w:rPr>
          <w:rFonts w:ascii="Arial" w:eastAsia="Arial" w:hAnsi="Arial" w:cs="Arial"/>
          <w:b/>
          <w:bCs/>
          <w:sz w:val="22"/>
          <w:szCs w:val="22"/>
          <w:lang w:val="it"/>
        </w:rPr>
      </w:pPr>
      <w:r w:rsidRPr="003608A6">
        <w:rPr>
          <w:rFonts w:ascii="Arial" w:eastAsia="Arial" w:hAnsi="Arial" w:cs="Arial"/>
          <w:b/>
          <w:bCs/>
          <w:sz w:val="22"/>
          <w:szCs w:val="22"/>
          <w:lang w:val="it"/>
        </w:rPr>
        <w:t>Efficacia delle azioni:</w:t>
      </w:r>
    </w:p>
    <w:p w14:paraId="7AAE2A6F" w14:textId="119AA974" w:rsidR="00984EA5" w:rsidRPr="003608A6" w:rsidRDefault="00984EA5" w:rsidP="00984EA5">
      <w:pPr>
        <w:jc w:val="both"/>
        <w:rPr>
          <w:rFonts w:ascii="Arial" w:eastAsia="Arial" w:hAnsi="Arial" w:cs="Arial"/>
          <w:sz w:val="22"/>
          <w:szCs w:val="22"/>
          <w:lang w:val="it"/>
        </w:rPr>
      </w:pPr>
      <w:r>
        <w:rPr>
          <w:rFonts w:ascii="Arial" w:hAnsi="Arial"/>
          <w:sz w:val="22"/>
        </w:rPr>
        <w:t xml:space="preserve">L'efficacia è parziale: gli avvii di carriera </w:t>
      </w:r>
      <w:r>
        <w:rPr>
          <w:rFonts w:ascii="Arial" w:hAnsi="Arial"/>
          <w:b/>
          <w:sz w:val="22"/>
        </w:rPr>
        <w:t>iC00</w:t>
      </w:r>
      <w:r>
        <w:rPr>
          <w:rFonts w:ascii="Arial" w:hAnsi="Arial"/>
          <w:sz w:val="22"/>
        </w:rPr>
        <w:t>a diminuiscono da 62 a 54, mentre la quota di iscritti al primo anno provenienti da altre Regioni (</w:t>
      </w:r>
      <w:r>
        <w:rPr>
          <w:rFonts w:ascii="Arial" w:hAnsi="Arial"/>
          <w:b/>
          <w:sz w:val="22"/>
        </w:rPr>
        <w:t>iC03</w:t>
      </w:r>
      <w:r>
        <w:rPr>
          <w:rFonts w:ascii="Arial" w:hAnsi="Arial"/>
          <w:sz w:val="22"/>
        </w:rPr>
        <w:t>) cresce dal 16,1% al 37,0%. Il file di Ateneo riporta inoltre 56 immatricolati complessivi, 18 dei quali residenti fuori dal Lazio. L'azione appare quindi efficace sul piano dell'attrattività territoriale, ma va rafforzata per recuperare la numerosità complessiva.</w:t>
      </w:r>
    </w:p>
    <w:p w14:paraId="069EF098" w14:textId="77777777" w:rsidR="00984EA5" w:rsidRPr="003608A6" w:rsidRDefault="00984EA5" w:rsidP="00984EA5">
      <w:pPr>
        <w:jc w:val="both"/>
        <w:rPr>
          <w:rFonts w:ascii="Arial" w:eastAsia="Arial" w:hAnsi="Arial" w:cs="Arial"/>
          <w:b/>
          <w:bCs/>
          <w:sz w:val="22"/>
          <w:szCs w:val="22"/>
          <w:lang w:val="it"/>
        </w:rPr>
      </w:pPr>
      <w:r w:rsidRPr="003608A6">
        <w:rPr>
          <w:rFonts w:ascii="Arial" w:eastAsia="Arial" w:hAnsi="Arial" w:cs="Arial"/>
          <w:b/>
          <w:bCs/>
          <w:sz w:val="22"/>
          <w:szCs w:val="22"/>
          <w:lang w:val="it"/>
        </w:rPr>
        <w:t>Azioni da intraprendere nell’anno futuro:</w:t>
      </w:r>
    </w:p>
    <w:p w14:paraId="1A80ABE5" w14:textId="58579969" w:rsidR="00984EA5" w:rsidRPr="003608A6" w:rsidRDefault="00AF637B" w:rsidP="00984EA5">
      <w:pPr>
        <w:jc w:val="both"/>
        <w:rPr>
          <w:rFonts w:ascii="Arial" w:eastAsia="Arial" w:hAnsi="Arial" w:cs="Arial"/>
          <w:sz w:val="22"/>
          <w:szCs w:val="22"/>
          <w:lang w:val="it"/>
        </w:rPr>
      </w:pPr>
      <w:r>
        <w:rPr>
          <w:rFonts w:ascii="Arial" w:hAnsi="Arial"/>
          <w:sz w:val="22"/>
        </w:rPr>
        <w:t xml:space="preserve">Proseguire l'azione di promozione, rafforzando la comunicazione mirata verso studenti lavoratori, studenti con precedenti carriere universitarie e potenziali iscritti fuori Regione, e monitorando congiuntamente </w:t>
      </w:r>
      <w:r>
        <w:rPr>
          <w:rFonts w:ascii="Arial" w:hAnsi="Arial"/>
          <w:b/>
          <w:sz w:val="22"/>
        </w:rPr>
        <w:t>iC00</w:t>
      </w:r>
      <w:r>
        <w:rPr>
          <w:rFonts w:ascii="Arial" w:hAnsi="Arial"/>
          <w:sz w:val="22"/>
        </w:rPr>
        <w:t xml:space="preserve">a, </w:t>
      </w:r>
      <w:r>
        <w:rPr>
          <w:rFonts w:ascii="Arial" w:hAnsi="Arial"/>
          <w:b/>
          <w:sz w:val="22"/>
        </w:rPr>
        <w:t>iC00</w:t>
      </w:r>
      <w:r>
        <w:rPr>
          <w:rFonts w:ascii="Arial" w:hAnsi="Arial"/>
          <w:sz w:val="22"/>
        </w:rPr>
        <w:t xml:space="preserve">b e </w:t>
      </w:r>
      <w:r>
        <w:rPr>
          <w:rFonts w:ascii="Arial" w:hAnsi="Arial"/>
          <w:b/>
          <w:sz w:val="22"/>
        </w:rPr>
        <w:t>iC03</w:t>
      </w:r>
      <w:r>
        <w:rPr>
          <w:rFonts w:ascii="Arial" w:hAnsi="Arial"/>
          <w:sz w:val="22"/>
        </w:rPr>
        <w:t>.</w:t>
      </w:r>
    </w:p>
    <w:p w14:paraId="554F3E44" w14:textId="77777777" w:rsidR="00984EA5" w:rsidRPr="003608A6" w:rsidRDefault="00984EA5" w:rsidP="00984EA5">
      <w:pPr>
        <w:jc w:val="both"/>
        <w:rPr>
          <w:rFonts w:ascii="Arial" w:eastAsia="Arial" w:hAnsi="Arial" w:cs="Arial"/>
          <w:b/>
          <w:bCs/>
          <w:sz w:val="22"/>
          <w:szCs w:val="22"/>
          <w:lang w:val="it"/>
        </w:rPr>
      </w:pPr>
      <w:r w:rsidRPr="003608A6">
        <w:rPr>
          <w:rFonts w:ascii="Arial" w:eastAsia="Arial" w:hAnsi="Arial" w:cs="Arial"/>
          <w:b/>
          <w:bCs/>
          <w:sz w:val="22"/>
          <w:szCs w:val="22"/>
          <w:lang w:val="it"/>
        </w:rPr>
        <w:t>Modalità e risorse:</w:t>
      </w:r>
    </w:p>
    <w:p w14:paraId="5C149AE2" w14:textId="33A523A4" w:rsidR="00984EA5" w:rsidRPr="003608A6" w:rsidRDefault="00984EA5" w:rsidP="00984EA5">
      <w:pPr>
        <w:spacing w:line="259" w:lineRule="auto"/>
        <w:jc w:val="both"/>
        <w:rPr>
          <w:rFonts w:ascii="Arial" w:eastAsia="Arial" w:hAnsi="Arial" w:cs="Arial"/>
          <w:sz w:val="22"/>
          <w:szCs w:val="22"/>
          <w:lang w:val="it"/>
        </w:rPr>
      </w:pPr>
      <w:r>
        <w:rPr>
          <w:rFonts w:ascii="Arial" w:hAnsi="Arial"/>
          <w:sz w:val="22"/>
        </w:rPr>
        <w:t>Le modalità e le risorse saranno sostanzialmente le stesse adottate nel precedente anno accademico, con il supporto delle strutture di orientamento del CdS e della Macroarea.</w:t>
      </w:r>
    </w:p>
    <w:p w14:paraId="1D86A453" w14:textId="77777777" w:rsidR="00984EA5" w:rsidRPr="003608A6" w:rsidRDefault="00984EA5" w:rsidP="00984EA5">
      <w:pPr>
        <w:jc w:val="both"/>
        <w:rPr>
          <w:rFonts w:ascii="Arial" w:eastAsia="Arial" w:hAnsi="Arial" w:cs="Arial"/>
          <w:b/>
          <w:bCs/>
          <w:sz w:val="22"/>
          <w:szCs w:val="22"/>
          <w:lang w:val="it"/>
        </w:rPr>
      </w:pPr>
      <w:r w:rsidRPr="003608A6">
        <w:rPr>
          <w:rFonts w:ascii="Arial" w:eastAsia="Arial" w:hAnsi="Arial" w:cs="Arial"/>
          <w:b/>
          <w:bCs/>
          <w:sz w:val="22"/>
          <w:szCs w:val="22"/>
          <w:lang w:val="it"/>
        </w:rPr>
        <w:t xml:space="preserve">Scadenze previste e indicatori che misurino lo stato di avanzamento: </w:t>
      </w:r>
    </w:p>
    <w:p w14:paraId="515ABDEC" w14:textId="77777777" w:rsidR="00984EA5" w:rsidRPr="003608A6" w:rsidRDefault="00984EA5" w:rsidP="00984EA5">
      <w:pPr>
        <w:jc w:val="both"/>
        <w:rPr>
          <w:rFonts w:ascii="Arial" w:eastAsia="Arial" w:hAnsi="Arial" w:cs="Arial"/>
          <w:sz w:val="22"/>
          <w:szCs w:val="22"/>
          <w:lang w:val="it"/>
        </w:rPr>
      </w:pPr>
      <w:r w:rsidRPr="003608A6">
        <w:rPr>
          <w:rFonts w:ascii="Arial" w:eastAsia="Arial" w:hAnsi="Arial" w:cs="Arial"/>
          <w:sz w:val="22"/>
          <w:szCs w:val="22"/>
          <w:lang w:val="it"/>
        </w:rPr>
        <w:t xml:space="preserve">Scadenza: annuale. </w:t>
      </w:r>
    </w:p>
    <w:p w14:paraId="2134E24D" w14:textId="77777777" w:rsidR="00984EA5" w:rsidRPr="003608A6" w:rsidRDefault="00984EA5" w:rsidP="00984EA5">
      <w:pPr>
        <w:jc w:val="both"/>
        <w:rPr>
          <w:rFonts w:ascii="Arial" w:eastAsia="Arial" w:hAnsi="Arial" w:cs="Arial"/>
          <w:sz w:val="22"/>
          <w:szCs w:val="22"/>
          <w:lang w:val="it"/>
        </w:rPr>
      </w:pPr>
      <w:r>
        <w:rPr>
          <w:rFonts w:ascii="Arial" w:hAnsi="Arial"/>
          <w:sz w:val="22"/>
        </w:rPr>
        <w:t>Indicatori: numero di avvii di carriera, numero di immatricolati puri, quota di iscritti al primo anno provenienti da altre Regioni e numero di iscritti agli anni successivi.</w:t>
      </w:r>
    </w:p>
    <w:p w14:paraId="04DA561B" w14:textId="77777777" w:rsidR="00984EA5" w:rsidRPr="003608A6" w:rsidRDefault="00984EA5" w:rsidP="00984EA5">
      <w:pPr>
        <w:jc w:val="both"/>
        <w:rPr>
          <w:rFonts w:ascii="Arial" w:eastAsia="Arial" w:hAnsi="Arial" w:cs="Arial"/>
          <w:b/>
          <w:bCs/>
          <w:sz w:val="22"/>
          <w:szCs w:val="22"/>
          <w:lang w:val="it"/>
        </w:rPr>
      </w:pPr>
      <w:r w:rsidRPr="003608A6">
        <w:rPr>
          <w:rFonts w:ascii="Arial" w:eastAsia="Arial" w:hAnsi="Arial" w:cs="Arial"/>
          <w:b/>
          <w:bCs/>
          <w:sz w:val="22"/>
          <w:szCs w:val="22"/>
          <w:lang w:val="it"/>
        </w:rPr>
        <w:t>Responsabilità:</w:t>
      </w:r>
    </w:p>
    <w:p w14:paraId="4725EAC7" w14:textId="74B084EE" w:rsidR="00984EA5" w:rsidRPr="003608A6" w:rsidRDefault="00984EA5" w:rsidP="00984EA5">
      <w:pPr>
        <w:jc w:val="both"/>
        <w:rPr>
          <w:rFonts w:ascii="Arial" w:eastAsia="Arial" w:hAnsi="Arial" w:cs="Arial"/>
          <w:sz w:val="22"/>
          <w:szCs w:val="22"/>
          <w:lang w:val="it"/>
        </w:rPr>
      </w:pPr>
      <w:r w:rsidRPr="003608A6">
        <w:rPr>
          <w:rFonts w:ascii="Arial" w:eastAsia="Arial" w:hAnsi="Arial" w:cs="Arial"/>
          <w:sz w:val="22"/>
          <w:szCs w:val="22"/>
          <w:lang w:val="it"/>
        </w:rPr>
        <w:t xml:space="preserve">Coordinatore CdS e responsabile </w:t>
      </w:r>
      <w:r w:rsidR="000B0F03">
        <w:rPr>
          <w:rFonts w:ascii="Arial" w:eastAsia="Arial" w:hAnsi="Arial" w:cs="Arial"/>
          <w:sz w:val="22"/>
          <w:szCs w:val="22"/>
          <w:lang w:val="it"/>
        </w:rPr>
        <w:t xml:space="preserve">delle </w:t>
      </w:r>
      <w:r w:rsidRPr="003608A6">
        <w:rPr>
          <w:rFonts w:ascii="Arial" w:eastAsia="Arial" w:hAnsi="Arial" w:cs="Arial"/>
          <w:sz w:val="22"/>
          <w:szCs w:val="22"/>
          <w:lang w:val="it"/>
        </w:rPr>
        <w:t>attività di orientamento studenti.</w:t>
      </w:r>
    </w:p>
    <w:p w14:paraId="14ACAB23" w14:textId="77777777" w:rsidR="00984EA5" w:rsidRPr="003A260F" w:rsidRDefault="00984EA5" w:rsidP="00984EA5">
      <w:pPr>
        <w:rPr>
          <w:rFonts w:ascii="Arial" w:eastAsia="Arial" w:hAnsi="Arial" w:cs="Arial"/>
          <w:sz w:val="22"/>
          <w:szCs w:val="22"/>
          <w:lang w:val="it"/>
        </w:rPr>
      </w:pPr>
      <w:r w:rsidRPr="003A260F">
        <w:rPr>
          <w:rFonts w:ascii="Arial" w:eastAsia="Arial" w:hAnsi="Arial" w:cs="Arial"/>
          <w:sz w:val="22"/>
          <w:szCs w:val="22"/>
          <w:lang w:val="it"/>
        </w:rPr>
        <w:t xml:space="preserve"> </w:t>
      </w:r>
    </w:p>
    <w:p w14:paraId="3F2E2532" w14:textId="2CDB4292" w:rsidR="00984EA5" w:rsidRPr="001B3DA2" w:rsidRDefault="00984EA5" w:rsidP="00984EA5">
      <w:pPr>
        <w:rPr>
          <w:rFonts w:ascii="Arial" w:eastAsia="Arial" w:hAnsi="Arial" w:cs="Arial"/>
          <w:b/>
          <w:bCs/>
          <w:lang w:val="it"/>
        </w:rPr>
      </w:pPr>
      <w:r>
        <w:rPr>
          <w:rFonts w:ascii="Arial" w:hAnsi="Arial"/>
          <w:sz w:val="22"/>
        </w:rPr>
        <w:t>Obiettivo n.2 (Obiettivo n.2 SMA 2025)</w:t>
      </w:r>
    </w:p>
    <w:p w14:paraId="6855D3F1" w14:textId="77777777" w:rsidR="00984EA5" w:rsidRPr="001B3DA2" w:rsidRDefault="00984EA5" w:rsidP="00984EA5">
      <w:pPr>
        <w:rPr>
          <w:rFonts w:ascii="Arial" w:eastAsia="Arial" w:hAnsi="Arial" w:cs="Arial"/>
          <w:sz w:val="22"/>
          <w:szCs w:val="22"/>
          <w:lang w:val="it"/>
        </w:rPr>
      </w:pPr>
      <w:r w:rsidRPr="001B3DA2">
        <w:rPr>
          <w:rFonts w:ascii="Arial" w:eastAsia="Arial" w:hAnsi="Arial" w:cs="Arial"/>
          <w:sz w:val="22"/>
          <w:szCs w:val="22"/>
          <w:lang w:val="it"/>
        </w:rPr>
        <w:t>Standardizzazione dell’erogazione degli insegnamenti erogati attraverso la piattaforma e-learning IOL adottata e allineamento della loro erogazione a tale standard.</w:t>
      </w:r>
    </w:p>
    <w:p w14:paraId="3FB0AA27" w14:textId="77777777" w:rsidR="00984EA5" w:rsidRPr="001B3DA2" w:rsidRDefault="00984EA5" w:rsidP="00984EA5">
      <w:pPr>
        <w:spacing w:line="259" w:lineRule="auto"/>
        <w:rPr>
          <w:rFonts w:ascii="Arial" w:eastAsia="Arial" w:hAnsi="Arial" w:cs="Arial"/>
          <w:b/>
          <w:bCs/>
          <w:lang w:val="it"/>
        </w:rPr>
      </w:pPr>
      <w:r w:rsidRPr="001B3DA2">
        <w:rPr>
          <w:rFonts w:ascii="Arial" w:eastAsia="Arial" w:hAnsi="Arial" w:cs="Arial"/>
          <w:b/>
          <w:bCs/>
          <w:sz w:val="22"/>
          <w:szCs w:val="22"/>
          <w:lang w:val="it"/>
        </w:rPr>
        <w:t>Azioni di miglioramento intraprese:</w:t>
      </w:r>
    </w:p>
    <w:p w14:paraId="777C7FB1" w14:textId="0D75483A" w:rsidR="00984EA5" w:rsidRPr="001B3DA2" w:rsidRDefault="00984EA5" w:rsidP="00FB5D5C">
      <w:pPr>
        <w:jc w:val="both"/>
        <w:rPr>
          <w:rFonts w:ascii="Arial" w:eastAsia="Arial" w:hAnsi="Arial" w:cs="Arial"/>
          <w:sz w:val="22"/>
          <w:szCs w:val="22"/>
          <w:lang w:val="it"/>
        </w:rPr>
      </w:pPr>
      <w:r w:rsidRPr="001B3DA2">
        <w:rPr>
          <w:rFonts w:ascii="Arial" w:eastAsia="Arial" w:hAnsi="Arial" w:cs="Arial"/>
          <w:sz w:val="22"/>
          <w:szCs w:val="22"/>
          <w:lang w:val="it"/>
        </w:rPr>
        <w:t>Analisi dell’attuale erogazione degli insegnamenti online del corso al fine di individuare le migliori pratiche. Individuazione di uno standard di presentazione del materiale e di erogazione degli insegnamenti online del corso sulla piattaforma e-learning basata su Moodle. Divulgazione informazion</w:t>
      </w:r>
      <w:r w:rsidR="009F119B">
        <w:rPr>
          <w:rFonts w:ascii="Arial" w:eastAsia="Arial" w:hAnsi="Arial" w:cs="Arial"/>
          <w:sz w:val="22"/>
          <w:szCs w:val="22"/>
          <w:lang w:val="it"/>
        </w:rPr>
        <w:t>i</w:t>
      </w:r>
      <w:r w:rsidRPr="001B3DA2">
        <w:rPr>
          <w:rFonts w:ascii="Arial" w:eastAsia="Arial" w:hAnsi="Arial" w:cs="Arial"/>
          <w:sz w:val="22"/>
          <w:szCs w:val="22"/>
          <w:lang w:val="it"/>
        </w:rPr>
        <w:t xml:space="preserve"> e aggiornamento docenti.</w:t>
      </w:r>
    </w:p>
    <w:p w14:paraId="7E3BAE38" w14:textId="77777777" w:rsidR="00984EA5" w:rsidRPr="001B3DA2" w:rsidRDefault="00984EA5" w:rsidP="00984EA5">
      <w:pPr>
        <w:jc w:val="both"/>
        <w:rPr>
          <w:rFonts w:ascii="Arial" w:eastAsia="Arial" w:hAnsi="Arial" w:cs="Arial"/>
          <w:b/>
          <w:bCs/>
          <w:sz w:val="22"/>
          <w:szCs w:val="22"/>
          <w:lang w:val="it"/>
        </w:rPr>
      </w:pPr>
      <w:r w:rsidRPr="001B3DA2">
        <w:rPr>
          <w:rFonts w:ascii="Arial" w:eastAsia="Arial" w:hAnsi="Arial" w:cs="Arial"/>
          <w:b/>
          <w:bCs/>
          <w:sz w:val="22"/>
          <w:szCs w:val="22"/>
          <w:lang w:val="it"/>
        </w:rPr>
        <w:t>Stato di avanzamento:</w:t>
      </w:r>
    </w:p>
    <w:p w14:paraId="36ED0CC2" w14:textId="7ECBCEBA" w:rsidR="00984EA5" w:rsidRPr="001B3DA2" w:rsidRDefault="00984EA5" w:rsidP="00AD41F1">
      <w:pPr>
        <w:jc w:val="both"/>
        <w:rPr>
          <w:rFonts w:ascii="Arial" w:eastAsia="Arial" w:hAnsi="Arial" w:cs="Arial"/>
          <w:sz w:val="22"/>
          <w:szCs w:val="22"/>
          <w:lang w:val="it"/>
        </w:rPr>
      </w:pPr>
      <w:r>
        <w:rPr>
          <w:rFonts w:ascii="Arial" w:hAnsi="Arial"/>
          <w:sz w:val="22"/>
        </w:rPr>
        <w:t>L'azione non può ancora considerarsi conclusa: non è disponibile un indicatore quantitativo che dimostri l'adozione completa dello standard da parte di tutti i docenti. Si conferma pertanto la necessità di proseguire la verifica dell'organizzazione degli insegnamenti sulla piattaforma.</w:t>
      </w:r>
    </w:p>
    <w:p w14:paraId="3F0F355C" w14:textId="77777777" w:rsidR="00984EA5" w:rsidRPr="001B3DA2" w:rsidRDefault="00984EA5" w:rsidP="00984EA5">
      <w:pPr>
        <w:jc w:val="both"/>
        <w:rPr>
          <w:rFonts w:ascii="Arial" w:eastAsia="Arial" w:hAnsi="Arial" w:cs="Arial"/>
          <w:b/>
          <w:bCs/>
          <w:sz w:val="22"/>
          <w:szCs w:val="22"/>
          <w:lang w:val="it"/>
        </w:rPr>
      </w:pPr>
      <w:r w:rsidRPr="001B3DA2">
        <w:rPr>
          <w:rFonts w:ascii="Arial" w:eastAsia="Arial" w:hAnsi="Arial" w:cs="Arial"/>
          <w:b/>
          <w:bCs/>
          <w:sz w:val="22"/>
          <w:szCs w:val="22"/>
          <w:lang w:val="it"/>
        </w:rPr>
        <w:t>Efficacia delle azioni:</w:t>
      </w:r>
    </w:p>
    <w:p w14:paraId="457EDDD1" w14:textId="12408B8B" w:rsidR="00984EA5" w:rsidRPr="001B3DA2" w:rsidRDefault="00984EA5" w:rsidP="00984EA5">
      <w:pPr>
        <w:spacing w:line="259" w:lineRule="auto"/>
        <w:jc w:val="both"/>
        <w:rPr>
          <w:rFonts w:ascii="Arial" w:eastAsia="Arial" w:hAnsi="Arial" w:cs="Arial"/>
          <w:sz w:val="22"/>
          <w:szCs w:val="22"/>
          <w:lang w:val="it"/>
        </w:rPr>
      </w:pPr>
      <w:r>
        <w:rPr>
          <w:rFonts w:ascii="Arial" w:hAnsi="Arial"/>
          <w:sz w:val="22"/>
        </w:rPr>
        <w:t xml:space="preserve">La progressiva adozione dello standard resta un elemento positivo, ma gli indicatori di carriera del primo anno (in particolare </w:t>
      </w:r>
      <w:r>
        <w:rPr>
          <w:rFonts w:ascii="Arial" w:hAnsi="Arial"/>
          <w:b/>
          <w:sz w:val="22"/>
        </w:rPr>
        <w:t>iC01</w:t>
      </w:r>
      <w:r>
        <w:rPr>
          <w:rFonts w:ascii="Arial" w:hAnsi="Arial"/>
          <w:sz w:val="22"/>
        </w:rPr>
        <w:t xml:space="preserve"> e </w:t>
      </w:r>
      <w:r>
        <w:rPr>
          <w:rFonts w:ascii="Arial" w:hAnsi="Arial"/>
          <w:b/>
          <w:sz w:val="22"/>
        </w:rPr>
        <w:t>iC13</w:t>
      </w:r>
      <w:r>
        <w:rPr>
          <w:rFonts w:ascii="Arial" w:hAnsi="Arial"/>
          <w:sz w:val="22"/>
        </w:rPr>
        <w:t>) mostrano un peggioramento nell'ultimo dato disponibile. Non è possibile attribuire direttamente tali risultati alla modalità di erogazione online; essi rendono tuttavia ancora più importante assicurare uniformità, chiarezza e accessibilità dei materiali e delle attività didattiche.</w:t>
      </w:r>
    </w:p>
    <w:p w14:paraId="2F107B23" w14:textId="77777777" w:rsidR="00984EA5" w:rsidRPr="001B3DA2" w:rsidRDefault="00984EA5" w:rsidP="00984EA5">
      <w:pPr>
        <w:spacing w:line="259" w:lineRule="auto"/>
        <w:rPr>
          <w:rFonts w:ascii="Arial" w:eastAsia="Arial" w:hAnsi="Arial" w:cs="Arial"/>
          <w:b/>
          <w:bCs/>
          <w:sz w:val="22"/>
          <w:szCs w:val="22"/>
          <w:lang w:val="it"/>
        </w:rPr>
      </w:pPr>
      <w:r w:rsidRPr="001B3DA2">
        <w:rPr>
          <w:rFonts w:ascii="Arial" w:eastAsia="Arial" w:hAnsi="Arial" w:cs="Arial"/>
          <w:b/>
          <w:bCs/>
          <w:sz w:val="22"/>
          <w:szCs w:val="22"/>
          <w:lang w:val="it"/>
        </w:rPr>
        <w:t>Azioni da intraprendere nell’anno futuro:</w:t>
      </w:r>
    </w:p>
    <w:p w14:paraId="2650A9E2" w14:textId="77777777" w:rsidR="00984EA5" w:rsidRPr="001B3DA2" w:rsidRDefault="00984EA5" w:rsidP="00867F9D">
      <w:pPr>
        <w:spacing w:line="259" w:lineRule="auto"/>
        <w:jc w:val="both"/>
        <w:rPr>
          <w:rFonts w:ascii="Arial" w:eastAsia="Arial" w:hAnsi="Arial" w:cs="Arial"/>
          <w:sz w:val="22"/>
          <w:szCs w:val="22"/>
          <w:lang w:val="it"/>
        </w:rPr>
      </w:pPr>
      <w:r>
        <w:rPr>
          <w:rFonts w:ascii="Arial" w:hAnsi="Arial"/>
          <w:sz w:val="22"/>
        </w:rPr>
        <w:t>Proseguire la standardizzazione e introdurre una verifica semestrale documentata della conformità degli insegnamenti allo specimen condiviso, con feedback ai docenti e ai tutor didattici.</w:t>
      </w:r>
    </w:p>
    <w:p w14:paraId="7F921778" w14:textId="77777777" w:rsidR="00984EA5" w:rsidRPr="001B3DA2" w:rsidRDefault="00984EA5" w:rsidP="00984EA5">
      <w:pPr>
        <w:rPr>
          <w:rFonts w:ascii="Arial" w:eastAsia="Arial" w:hAnsi="Arial" w:cs="Arial"/>
          <w:b/>
          <w:bCs/>
          <w:sz w:val="22"/>
          <w:szCs w:val="22"/>
          <w:lang w:val="it"/>
        </w:rPr>
      </w:pPr>
      <w:r w:rsidRPr="001B3DA2">
        <w:rPr>
          <w:rFonts w:ascii="Arial" w:eastAsia="Arial" w:hAnsi="Arial" w:cs="Arial"/>
          <w:b/>
          <w:bCs/>
          <w:sz w:val="22"/>
          <w:szCs w:val="22"/>
          <w:lang w:val="it"/>
        </w:rPr>
        <w:t>Modalità e risorse:</w:t>
      </w:r>
    </w:p>
    <w:p w14:paraId="229B44AA" w14:textId="7702FF99" w:rsidR="00984EA5" w:rsidRPr="001B3DA2" w:rsidRDefault="00984EA5" w:rsidP="00984EA5">
      <w:pPr>
        <w:spacing w:line="259" w:lineRule="auto"/>
        <w:jc w:val="both"/>
        <w:rPr>
          <w:rFonts w:ascii="Arial" w:eastAsia="Arial" w:hAnsi="Arial" w:cs="Arial"/>
          <w:sz w:val="22"/>
          <w:szCs w:val="22"/>
          <w:lang w:val="it"/>
        </w:rPr>
      </w:pPr>
      <w:r w:rsidRPr="001B3DA2">
        <w:rPr>
          <w:rFonts w:ascii="Arial" w:eastAsia="Arial" w:hAnsi="Arial" w:cs="Arial"/>
          <w:sz w:val="22"/>
          <w:szCs w:val="22"/>
          <w:lang w:val="it"/>
        </w:rPr>
        <w:t xml:space="preserve">Le modalità e le risorse saranno </w:t>
      </w:r>
      <w:r w:rsidR="00FB5D5C" w:rsidRPr="001B3DA2">
        <w:rPr>
          <w:rFonts w:ascii="Arial" w:eastAsia="Arial" w:hAnsi="Arial" w:cs="Arial"/>
          <w:sz w:val="22"/>
          <w:szCs w:val="22"/>
          <w:lang w:val="it"/>
        </w:rPr>
        <w:t xml:space="preserve">sostanzialmente </w:t>
      </w:r>
      <w:r w:rsidRPr="001B3DA2">
        <w:rPr>
          <w:rFonts w:ascii="Arial" w:eastAsia="Arial" w:hAnsi="Arial" w:cs="Arial"/>
          <w:sz w:val="22"/>
          <w:szCs w:val="22"/>
          <w:lang w:val="it"/>
        </w:rPr>
        <w:t>le stesse adottate nel precedente anno accademico. Il CdS organizzerà uno o più incontri con i docenti di insegnamenti erogati anche con canale online e con i tutor didattici per la presentazione dello standard individuato.</w:t>
      </w:r>
    </w:p>
    <w:p w14:paraId="39A60127" w14:textId="77777777" w:rsidR="00984EA5" w:rsidRPr="001B3DA2" w:rsidRDefault="00984EA5" w:rsidP="00984EA5">
      <w:pPr>
        <w:rPr>
          <w:rFonts w:ascii="Arial" w:eastAsia="Arial" w:hAnsi="Arial" w:cs="Arial"/>
          <w:b/>
          <w:bCs/>
          <w:sz w:val="22"/>
          <w:szCs w:val="22"/>
          <w:lang w:val="it"/>
        </w:rPr>
      </w:pPr>
      <w:r>
        <w:rPr>
          <w:rFonts w:ascii="Arial" w:hAnsi="Arial"/>
          <w:sz w:val="22"/>
        </w:rPr>
        <w:t>Scadenze previste e indicatori che misurino lo stato di avanzamento:</w:t>
      </w:r>
    </w:p>
    <w:p w14:paraId="30871561" w14:textId="4D8134D4" w:rsidR="00984EA5" w:rsidRPr="001B3DA2" w:rsidRDefault="00C01101" w:rsidP="00984EA5">
      <w:pPr>
        <w:rPr>
          <w:rFonts w:ascii="Arial" w:eastAsia="Arial" w:hAnsi="Arial" w:cs="Arial"/>
          <w:sz w:val="22"/>
          <w:szCs w:val="22"/>
          <w:lang w:val="it"/>
        </w:rPr>
      </w:pPr>
      <w:r>
        <w:rPr>
          <w:rFonts w:ascii="Arial" w:hAnsi="Arial"/>
          <w:sz w:val="22"/>
        </w:rPr>
        <w:t>Valutazione semestrale della percentuale di insegnamenti conformi allo standard e monitoraggio dei principali indicatori di progressione del primo anno.</w:t>
      </w:r>
    </w:p>
    <w:p w14:paraId="494BE668" w14:textId="77777777" w:rsidR="00984EA5" w:rsidRPr="001B3DA2" w:rsidRDefault="00984EA5" w:rsidP="00984EA5">
      <w:pPr>
        <w:keepNext/>
        <w:rPr>
          <w:rFonts w:ascii="Arial" w:eastAsia="Arial" w:hAnsi="Arial" w:cs="Arial"/>
          <w:b/>
          <w:bCs/>
          <w:sz w:val="22"/>
          <w:szCs w:val="22"/>
          <w:lang w:val="it"/>
        </w:rPr>
      </w:pPr>
      <w:r w:rsidRPr="001B3DA2">
        <w:rPr>
          <w:rFonts w:ascii="Arial" w:eastAsia="Arial" w:hAnsi="Arial" w:cs="Arial"/>
          <w:b/>
          <w:bCs/>
          <w:sz w:val="22"/>
          <w:szCs w:val="22"/>
          <w:lang w:val="it"/>
        </w:rPr>
        <w:t>Responsabilità:</w:t>
      </w:r>
    </w:p>
    <w:p w14:paraId="65C2A753" w14:textId="55D704B5" w:rsidR="00F74A37" w:rsidRDefault="00984EA5" w:rsidP="00AA51A6">
      <w:pPr>
        <w:rPr>
          <w:rFonts w:ascii="Arial" w:eastAsia="Arial" w:hAnsi="Arial" w:cs="Arial"/>
          <w:sz w:val="22"/>
          <w:szCs w:val="22"/>
          <w:lang w:val="it"/>
        </w:rPr>
      </w:pPr>
      <w:r w:rsidRPr="001B3DA2">
        <w:rPr>
          <w:rFonts w:ascii="Arial" w:eastAsia="Arial" w:hAnsi="Arial" w:cs="Arial"/>
          <w:sz w:val="22"/>
          <w:szCs w:val="22"/>
          <w:lang w:val="it"/>
        </w:rPr>
        <w:t>Tutor del CdL e Coordinatore CdS, tutor didattici e tecnici del CdL.</w:t>
      </w:r>
    </w:p>
    <w:p w14:paraId="1D80EF7A" w14:textId="77777777" w:rsidR="00712F8E" w:rsidRDefault="00712F8E" w:rsidP="00AA51A6">
      <w:pPr>
        <w:rPr>
          <w:rFonts w:ascii="Arial" w:eastAsia="Arial" w:hAnsi="Arial" w:cs="Arial"/>
          <w:sz w:val="22"/>
          <w:szCs w:val="22"/>
          <w:lang w:val="it"/>
        </w:rPr>
      </w:pPr>
    </w:p>
    <w:p w14:paraId="7C1F19E6" w14:textId="70C535E3" w:rsidR="00712F8E" w:rsidRDefault="00712F8E" w:rsidP="00712F8E">
      <w:pPr>
        <w:jc w:val="both"/>
        <w:rPr>
          <w:rFonts w:ascii="Arial" w:hAnsi="Arial" w:cs="Arial"/>
          <w:b/>
          <w:color w:val="000000"/>
          <w:sz w:val="22"/>
          <w:szCs w:val="22"/>
        </w:rPr>
      </w:pPr>
      <w:r>
        <w:rPr>
          <w:rFonts w:ascii="Arial" w:hAnsi="Arial"/>
          <w:sz w:val="22"/>
        </w:rPr>
        <w:t>Obiettivo n.3 (Obiettivo n.3 SMA 2025):</w:t>
      </w:r>
    </w:p>
    <w:p w14:paraId="503191B4" w14:textId="77777777" w:rsidR="00712F8E" w:rsidRDefault="00712F8E" w:rsidP="00712F8E">
      <w:pPr>
        <w:jc w:val="both"/>
        <w:rPr>
          <w:rFonts w:ascii="Arial" w:hAnsi="Arial" w:cs="Arial"/>
          <w:color w:val="000000"/>
          <w:sz w:val="22"/>
          <w:szCs w:val="22"/>
        </w:rPr>
      </w:pPr>
      <w:r>
        <w:rPr>
          <w:rFonts w:ascii="Arial" w:hAnsi="Arial" w:cs="Arial"/>
          <w:color w:val="000000"/>
          <w:sz w:val="22"/>
          <w:szCs w:val="22"/>
        </w:rPr>
        <w:t>Potenziare e monitorare le azioni di tutoraggio in ingresso e in itinere per gli studenti del primo anno.</w:t>
      </w:r>
    </w:p>
    <w:p w14:paraId="18AF77B1" w14:textId="77777777" w:rsidR="00712F8E" w:rsidRDefault="00712F8E" w:rsidP="00712F8E">
      <w:pPr>
        <w:jc w:val="both"/>
        <w:rPr>
          <w:rFonts w:ascii="Arial" w:hAnsi="Arial" w:cs="Arial"/>
          <w:b/>
          <w:color w:val="000000"/>
          <w:sz w:val="22"/>
          <w:szCs w:val="22"/>
        </w:rPr>
      </w:pPr>
      <w:r>
        <w:rPr>
          <w:rFonts w:ascii="Arial" w:hAnsi="Arial" w:cs="Arial"/>
          <w:b/>
          <w:color w:val="000000"/>
          <w:sz w:val="22"/>
          <w:szCs w:val="22"/>
        </w:rPr>
        <w:t xml:space="preserve">Azioni di miglioramento intraprese: </w:t>
      </w:r>
    </w:p>
    <w:p w14:paraId="1E8F77DA" w14:textId="77777777" w:rsidR="00712F8E" w:rsidRDefault="00712F8E" w:rsidP="00712F8E">
      <w:pPr>
        <w:jc w:val="both"/>
        <w:rPr>
          <w:rFonts w:ascii="Arial" w:hAnsi="Arial" w:cs="Arial"/>
          <w:sz w:val="22"/>
          <w:szCs w:val="22"/>
        </w:rPr>
      </w:pPr>
      <w:r>
        <w:rPr>
          <w:rFonts w:ascii="Arial" w:hAnsi="Arial"/>
          <w:sz w:val="22"/>
        </w:rPr>
        <w:t>Il CdS prosegue nelle azioni di tutoraggio in ingresso e in itinere adottate nei precedenti anni accademici per rispondere alle criticità riguardanti soprattutto il primo anno del CdL.</w:t>
      </w:r>
    </w:p>
    <w:p w14:paraId="00F5A2AB" w14:textId="77777777" w:rsidR="00712F8E" w:rsidRDefault="00712F8E" w:rsidP="00712F8E">
      <w:pPr>
        <w:jc w:val="both"/>
        <w:rPr>
          <w:rFonts w:ascii="Arial" w:hAnsi="Arial" w:cs="Arial"/>
          <w:sz w:val="22"/>
          <w:szCs w:val="22"/>
        </w:rPr>
      </w:pPr>
      <w:r>
        <w:rPr>
          <w:rFonts w:ascii="Arial" w:hAnsi="Arial"/>
          <w:sz w:val="22"/>
        </w:rPr>
        <w:t>Per favorire l'orientamento in ingresso il CdS mantiene aggiornati i canali informativi e il sito istituzionale, con descrizione degli insegnamenti, istruzioni per le immatricolazioni e indicazioni sulle conoscenze richieste in ingresso e sul recupero delle carenze.</w:t>
      </w:r>
    </w:p>
    <w:p w14:paraId="6A6E1DA3" w14:textId="53CF2535" w:rsidR="00712F8E" w:rsidRDefault="00712F8E" w:rsidP="00712F8E">
      <w:pPr>
        <w:jc w:val="both"/>
        <w:rPr>
          <w:rFonts w:ascii="Arial" w:hAnsi="Arial" w:cs="Arial"/>
          <w:sz w:val="22"/>
          <w:szCs w:val="22"/>
        </w:rPr>
      </w:pPr>
      <w:r>
        <w:rPr>
          <w:rFonts w:ascii="Arial" w:hAnsi="Arial"/>
          <w:sz w:val="22"/>
        </w:rPr>
        <w:t>Sono confermati i precorsi e le attività di tutoraggio per gli insegnamenti di base del primo anno. Il monitoraggio dovrà essere ulteriormente focalizzato sull'acquisizione dei CFU e sulla prosecuzione al secondo anno, anche attraverso il tavolo di lavoro tra i coordinatori dei CdS triennali e il confronto con i docenti delle materie di base.</w:t>
      </w:r>
    </w:p>
    <w:p w14:paraId="1D73D3CE" w14:textId="77777777" w:rsidR="00712F8E" w:rsidRDefault="00712F8E" w:rsidP="00712F8E">
      <w:pPr>
        <w:jc w:val="both"/>
        <w:rPr>
          <w:rFonts w:ascii="Arial" w:hAnsi="Arial" w:cs="Arial"/>
          <w:b/>
          <w:color w:val="000000"/>
          <w:sz w:val="22"/>
          <w:szCs w:val="22"/>
        </w:rPr>
      </w:pPr>
      <w:r>
        <w:rPr>
          <w:rFonts w:ascii="Arial" w:hAnsi="Arial" w:cs="Arial"/>
          <w:b/>
          <w:color w:val="000000"/>
          <w:sz w:val="22"/>
          <w:szCs w:val="22"/>
        </w:rPr>
        <w:t>Stato di avanzamento:</w:t>
      </w:r>
    </w:p>
    <w:p w14:paraId="7F913FC1" w14:textId="376852C5" w:rsidR="00712F8E" w:rsidRDefault="00712F8E" w:rsidP="00712F8E">
      <w:pPr>
        <w:jc w:val="both"/>
        <w:rPr>
          <w:rFonts w:ascii="Arial" w:hAnsi="Arial" w:cs="Arial"/>
          <w:color w:val="000000"/>
          <w:sz w:val="22"/>
          <w:szCs w:val="22"/>
        </w:rPr>
      </w:pPr>
      <w:r>
        <w:rPr>
          <w:rFonts w:ascii="Arial" w:hAnsi="Arial"/>
          <w:sz w:val="22"/>
        </w:rPr>
        <w:t xml:space="preserve">Le azioni sono in essere e vengono riproposte ciclicamente. Il dato 2025/26 di </w:t>
      </w:r>
      <w:r>
        <w:rPr>
          <w:rFonts w:ascii="Arial" w:hAnsi="Arial"/>
          <w:b/>
          <w:sz w:val="22"/>
        </w:rPr>
        <w:t>iC20</w:t>
      </w:r>
      <w:r>
        <w:rPr>
          <w:rFonts w:ascii="Arial" w:hAnsi="Arial"/>
          <w:sz w:val="22"/>
        </w:rPr>
        <w:t xml:space="preserve"> pari a 0% richiede inoltre una verifica della corretta registrazione amministrativa dei tutor, prima di essere interpretato come effettiva assenza del servizio.</w:t>
      </w:r>
    </w:p>
    <w:p w14:paraId="0247B89E" w14:textId="77777777" w:rsidR="00712F8E" w:rsidRDefault="00712F8E" w:rsidP="00712F8E">
      <w:pPr>
        <w:jc w:val="both"/>
        <w:rPr>
          <w:rFonts w:ascii="Arial" w:hAnsi="Arial" w:cs="Arial"/>
          <w:b/>
          <w:sz w:val="22"/>
          <w:szCs w:val="22"/>
        </w:rPr>
      </w:pPr>
      <w:r>
        <w:rPr>
          <w:rFonts w:ascii="Arial" w:hAnsi="Arial" w:cs="Arial"/>
          <w:b/>
          <w:sz w:val="22"/>
          <w:szCs w:val="22"/>
        </w:rPr>
        <w:t>Efficacia delle azioni intraprese:</w:t>
      </w:r>
    </w:p>
    <w:p w14:paraId="14822F49" w14:textId="77777777" w:rsidR="00712F8E" w:rsidRDefault="00712F8E" w:rsidP="00712F8E">
      <w:pPr>
        <w:pStyle w:val="paragraph"/>
        <w:spacing w:before="0" w:beforeAutospacing="0" w:after="0" w:afterAutospacing="0"/>
        <w:jc w:val="both"/>
        <w:textAlignment w:val="baseline"/>
        <w:rPr>
          <w:rFonts w:ascii="Arial" w:hAnsi="Arial" w:cs="Arial"/>
          <w:sz w:val="22"/>
          <w:szCs w:val="22"/>
        </w:rPr>
      </w:pPr>
      <w:r>
        <w:rPr>
          <w:rFonts w:ascii="Arial" w:hAnsi="Arial"/>
          <w:sz w:val="22"/>
        </w:rPr>
        <w:t xml:space="preserve">Gli indicatori </w:t>
      </w:r>
      <w:r>
        <w:rPr>
          <w:rFonts w:ascii="Arial" w:hAnsi="Arial"/>
          <w:b/>
          <w:sz w:val="22"/>
        </w:rPr>
        <w:t>iC01</w:t>
      </w:r>
      <w:r>
        <w:rPr>
          <w:rFonts w:ascii="Arial" w:hAnsi="Arial"/>
          <w:sz w:val="22"/>
        </w:rPr>
        <w:t xml:space="preserve"> e </w:t>
      </w:r>
      <w:r>
        <w:rPr>
          <w:rFonts w:ascii="Arial" w:hAnsi="Arial"/>
          <w:b/>
          <w:sz w:val="22"/>
        </w:rPr>
        <w:t>iC13</w:t>
      </w:r>
      <w:r>
        <w:rPr>
          <w:rFonts w:ascii="Arial" w:hAnsi="Arial"/>
          <w:sz w:val="22"/>
        </w:rPr>
        <w:t>-</w:t>
      </w:r>
      <w:r>
        <w:rPr>
          <w:rFonts w:ascii="Arial" w:hAnsi="Arial"/>
          <w:b/>
          <w:sz w:val="22"/>
        </w:rPr>
        <w:t>iC17</w:t>
      </w:r>
      <w:r>
        <w:rPr>
          <w:rFonts w:ascii="Arial" w:hAnsi="Arial"/>
          <w:sz w:val="22"/>
        </w:rPr>
        <w:t xml:space="preserve"> mostrano che le criticità del primo anno non sono ancora superate; </w:t>
      </w:r>
      <w:r>
        <w:rPr>
          <w:rFonts w:ascii="Arial" w:hAnsi="Arial"/>
          <w:b/>
          <w:sz w:val="22"/>
        </w:rPr>
        <w:t>iC21</w:t>
      </w:r>
      <w:r>
        <w:rPr>
          <w:rFonts w:ascii="Arial" w:hAnsi="Arial"/>
          <w:sz w:val="22"/>
        </w:rPr>
        <w:t xml:space="preserve"> registra una sostanziale stabilità, mentre </w:t>
      </w:r>
      <w:r>
        <w:rPr>
          <w:rFonts w:ascii="Arial" w:hAnsi="Arial"/>
          <w:b/>
          <w:sz w:val="22"/>
        </w:rPr>
        <w:t>iC24</w:t>
      </w:r>
      <w:r>
        <w:rPr>
          <w:rFonts w:ascii="Arial" w:hAnsi="Arial"/>
          <w:sz w:val="22"/>
        </w:rPr>
        <w:t xml:space="preserve"> resta molto elevato. Le azioni di tutoraggio risultano quindi ancora necessarie e devono essere accompagnate da un monitoraggio più tempestivo delle carriere.</w:t>
      </w:r>
    </w:p>
    <w:p w14:paraId="615CCB9A" w14:textId="77777777" w:rsidR="00712F8E" w:rsidRDefault="00712F8E" w:rsidP="00712F8E">
      <w:pPr>
        <w:jc w:val="both"/>
        <w:rPr>
          <w:rFonts w:ascii="Arial" w:hAnsi="Arial" w:cs="Arial"/>
          <w:b/>
          <w:color w:val="000000"/>
          <w:sz w:val="22"/>
          <w:szCs w:val="22"/>
        </w:rPr>
      </w:pPr>
      <w:r>
        <w:rPr>
          <w:rFonts w:ascii="Arial" w:hAnsi="Arial" w:cs="Arial"/>
          <w:b/>
          <w:color w:val="000000"/>
          <w:sz w:val="22"/>
          <w:szCs w:val="22"/>
        </w:rPr>
        <w:t>Azioni di miglioramento da intraprendere:</w:t>
      </w:r>
    </w:p>
    <w:p w14:paraId="3FFBB9BF" w14:textId="77777777" w:rsidR="00712F8E" w:rsidRDefault="00712F8E" w:rsidP="00712F8E">
      <w:pPr>
        <w:pStyle w:val="paragraph"/>
        <w:spacing w:before="0" w:beforeAutospacing="0" w:after="0" w:afterAutospacing="0"/>
        <w:jc w:val="both"/>
        <w:textAlignment w:val="baseline"/>
        <w:rPr>
          <w:rFonts w:ascii="Arial" w:hAnsi="Arial" w:cs="Arial"/>
          <w:sz w:val="22"/>
          <w:szCs w:val="22"/>
        </w:rPr>
      </w:pPr>
      <w:r>
        <w:rPr>
          <w:rFonts w:ascii="Arial" w:hAnsi="Arial"/>
          <w:sz w:val="22"/>
        </w:rPr>
        <w:t>Continuare e rafforzare le azioni già intraprese, prevedendo un monitoraggio periodico degli studenti del primo anno a rischio di bassa acquisizione di CFU e un raccordo sistematico tra tutor, docenti degli insegnamenti di base e Coordinatore del CdS.</w:t>
      </w:r>
    </w:p>
    <w:p w14:paraId="3711B652" w14:textId="77777777" w:rsidR="00712F8E" w:rsidRDefault="00712F8E" w:rsidP="00712F8E">
      <w:pPr>
        <w:jc w:val="both"/>
        <w:rPr>
          <w:rFonts w:ascii="Arial" w:hAnsi="Arial" w:cs="Arial"/>
          <w:sz w:val="22"/>
          <w:szCs w:val="22"/>
        </w:rPr>
      </w:pPr>
      <w:r>
        <w:rPr>
          <w:rFonts w:ascii="Arial" w:hAnsi="Arial"/>
          <w:sz w:val="22"/>
        </w:rPr>
        <w:t>Modalità e risorse: prosecuzione delle attività già descritte, con utilizzo dei tutor didattici e delle strutture di supporto della Macroarea.</w:t>
      </w:r>
    </w:p>
    <w:p w14:paraId="3D8C2AC7" w14:textId="77777777" w:rsidR="00712F8E" w:rsidRDefault="00712F8E" w:rsidP="00712F8E">
      <w:pPr>
        <w:jc w:val="both"/>
        <w:rPr>
          <w:rFonts w:ascii="Arial" w:hAnsi="Arial" w:cs="Arial"/>
          <w:b/>
          <w:color w:val="000000"/>
          <w:sz w:val="22"/>
          <w:szCs w:val="22"/>
        </w:rPr>
      </w:pPr>
      <w:r>
        <w:rPr>
          <w:rFonts w:ascii="Arial" w:hAnsi="Arial" w:cs="Arial"/>
          <w:b/>
          <w:color w:val="000000"/>
          <w:sz w:val="22"/>
          <w:szCs w:val="22"/>
        </w:rPr>
        <w:t xml:space="preserve">Scadenze previste e indicatori che misurino lo stato di avanzamento: </w:t>
      </w:r>
    </w:p>
    <w:p w14:paraId="4551D69B" w14:textId="77777777" w:rsidR="00712F8E" w:rsidRDefault="00712F8E" w:rsidP="00712F8E">
      <w:pPr>
        <w:jc w:val="both"/>
        <w:rPr>
          <w:rFonts w:ascii="Arial" w:hAnsi="Arial" w:cs="Arial"/>
          <w:color w:val="000000"/>
          <w:sz w:val="22"/>
          <w:szCs w:val="22"/>
        </w:rPr>
      </w:pPr>
      <w:r>
        <w:rPr>
          <w:rFonts w:ascii="Arial" w:hAnsi="Arial" w:cs="Arial"/>
          <w:color w:val="000000"/>
          <w:sz w:val="22"/>
          <w:szCs w:val="22"/>
        </w:rPr>
        <w:t>Scadenza annuale.</w:t>
      </w:r>
    </w:p>
    <w:p w14:paraId="6FA2C8A1" w14:textId="77777777" w:rsidR="00712F8E" w:rsidRDefault="00712F8E" w:rsidP="00712F8E">
      <w:pPr>
        <w:jc w:val="both"/>
        <w:rPr>
          <w:rFonts w:ascii="Arial" w:hAnsi="Arial" w:cs="Arial"/>
          <w:color w:val="000000"/>
          <w:sz w:val="22"/>
          <w:szCs w:val="22"/>
        </w:rPr>
      </w:pPr>
      <w:r>
        <w:rPr>
          <w:rFonts w:ascii="Arial" w:hAnsi="Arial"/>
          <w:sz w:val="22"/>
        </w:rPr>
        <w:t xml:space="preserve">Indicatori: </w:t>
      </w:r>
      <w:r>
        <w:rPr>
          <w:rFonts w:ascii="Arial" w:hAnsi="Arial"/>
          <w:b/>
          <w:sz w:val="22"/>
        </w:rPr>
        <w:t>iC01</w:t>
      </w:r>
      <w:r>
        <w:rPr>
          <w:rFonts w:ascii="Arial" w:hAnsi="Arial"/>
          <w:sz w:val="22"/>
        </w:rPr>
        <w:t xml:space="preserve">, </w:t>
      </w:r>
      <w:r>
        <w:rPr>
          <w:rFonts w:ascii="Arial" w:hAnsi="Arial"/>
          <w:b/>
          <w:sz w:val="22"/>
        </w:rPr>
        <w:t>iC13</w:t>
      </w:r>
      <w:r>
        <w:rPr>
          <w:rFonts w:ascii="Arial" w:hAnsi="Arial"/>
          <w:sz w:val="22"/>
        </w:rPr>
        <w:t>-</w:t>
      </w:r>
      <w:r>
        <w:rPr>
          <w:rFonts w:ascii="Arial" w:hAnsi="Arial"/>
          <w:b/>
          <w:sz w:val="22"/>
        </w:rPr>
        <w:t>iC17</w:t>
      </w:r>
      <w:r>
        <w:rPr>
          <w:rFonts w:ascii="Arial" w:hAnsi="Arial"/>
          <w:sz w:val="22"/>
        </w:rPr>
        <w:t xml:space="preserve">, </w:t>
      </w:r>
      <w:r>
        <w:rPr>
          <w:rFonts w:ascii="Arial" w:hAnsi="Arial"/>
          <w:b/>
          <w:sz w:val="22"/>
        </w:rPr>
        <w:t>iC20</w:t>
      </w:r>
      <w:r>
        <w:rPr>
          <w:rFonts w:ascii="Arial" w:hAnsi="Arial"/>
          <w:sz w:val="22"/>
        </w:rPr>
        <w:t xml:space="preserve">, </w:t>
      </w:r>
      <w:r>
        <w:rPr>
          <w:rFonts w:ascii="Arial" w:hAnsi="Arial"/>
          <w:b/>
          <w:sz w:val="22"/>
        </w:rPr>
        <w:t>iC21</w:t>
      </w:r>
      <w:r>
        <w:rPr>
          <w:rFonts w:ascii="Arial" w:hAnsi="Arial"/>
          <w:sz w:val="22"/>
        </w:rPr>
        <w:t xml:space="preserve">, </w:t>
      </w:r>
      <w:r>
        <w:rPr>
          <w:rFonts w:ascii="Arial" w:hAnsi="Arial"/>
          <w:b/>
          <w:sz w:val="22"/>
        </w:rPr>
        <w:t>iC22</w:t>
      </w:r>
      <w:r>
        <w:rPr>
          <w:rFonts w:ascii="Arial" w:hAnsi="Arial"/>
          <w:sz w:val="22"/>
        </w:rPr>
        <w:t xml:space="preserve"> e </w:t>
      </w:r>
      <w:r>
        <w:rPr>
          <w:rFonts w:ascii="Arial" w:hAnsi="Arial"/>
          <w:b/>
          <w:sz w:val="22"/>
        </w:rPr>
        <w:t>iC24</w:t>
      </w:r>
      <w:r>
        <w:rPr>
          <w:rFonts w:ascii="Arial" w:hAnsi="Arial"/>
          <w:sz w:val="22"/>
        </w:rPr>
        <w:t>, oltre al numero di studenti coinvolti nelle attività di tutoraggio.</w:t>
      </w:r>
    </w:p>
    <w:p w14:paraId="52F7BDE6" w14:textId="77777777" w:rsidR="00712F8E" w:rsidRDefault="00712F8E" w:rsidP="00712F8E">
      <w:pPr>
        <w:jc w:val="both"/>
        <w:rPr>
          <w:rFonts w:ascii="Arial" w:hAnsi="Arial" w:cs="Arial"/>
          <w:b/>
          <w:color w:val="000000"/>
          <w:sz w:val="22"/>
          <w:szCs w:val="22"/>
        </w:rPr>
      </w:pPr>
      <w:r>
        <w:rPr>
          <w:rFonts w:ascii="Arial" w:hAnsi="Arial" w:cs="Arial"/>
          <w:b/>
          <w:color w:val="000000"/>
          <w:sz w:val="22"/>
          <w:szCs w:val="22"/>
        </w:rPr>
        <w:t>Responsabilità:</w:t>
      </w:r>
    </w:p>
    <w:p w14:paraId="053D12AD" w14:textId="77777777" w:rsidR="00712F8E" w:rsidRDefault="00712F8E" w:rsidP="00712F8E">
      <w:pPr>
        <w:autoSpaceDE w:val="0"/>
        <w:autoSpaceDN w:val="0"/>
        <w:adjustRightInd w:val="0"/>
        <w:jc w:val="both"/>
        <w:rPr>
          <w:rFonts w:ascii="Arial" w:hAnsi="Arial" w:cs="Arial"/>
          <w:sz w:val="22"/>
          <w:szCs w:val="22"/>
        </w:rPr>
      </w:pPr>
      <w:r>
        <w:rPr>
          <w:rFonts w:ascii="Arial" w:hAnsi="Arial" w:cs="Arial"/>
          <w:sz w:val="22"/>
          <w:szCs w:val="22"/>
        </w:rPr>
        <w:t>Coordinatore del CdS, Gruppo di Riesame e struttura di coordinamento della Macroarea di Ingegneria.</w:t>
      </w:r>
    </w:p>
    <w:p w14:paraId="3D067B22" w14:textId="77777777" w:rsidR="00712F8E" w:rsidRPr="00AA51A6" w:rsidRDefault="00712F8E" w:rsidP="00AA51A6">
      <w:pPr>
        <w:rPr>
          <w:rFonts w:ascii="Arial" w:eastAsia="Arial" w:hAnsi="Arial" w:cs="Arial"/>
          <w:sz w:val="22"/>
          <w:szCs w:val="22"/>
          <w:lang w:val="it"/>
        </w:rPr>
      </w:pPr>
    </w:p>
    <w:sectPr w:rsidR="00712F8E" w:rsidRPr="00AA51A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CD9"/>
    <w:multiLevelType w:val="hybridMultilevel"/>
    <w:tmpl w:val="ABD83332"/>
    <w:lvl w:ilvl="0" w:tplc="A8F0A94E">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A32139"/>
    <w:multiLevelType w:val="multilevel"/>
    <w:tmpl w:val="86169B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C5EFE"/>
    <w:multiLevelType w:val="multilevel"/>
    <w:tmpl w:val="DD6C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6704B9"/>
    <w:multiLevelType w:val="hybridMultilevel"/>
    <w:tmpl w:val="CA3287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D12AD1"/>
    <w:multiLevelType w:val="multilevel"/>
    <w:tmpl w:val="9E3616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C6BA9"/>
    <w:multiLevelType w:val="hybridMultilevel"/>
    <w:tmpl w:val="0E64536E"/>
    <w:lvl w:ilvl="0" w:tplc="1C484AE4">
      <w:start w:val="1"/>
      <w:numFmt w:val="bullet"/>
      <w:lvlText w:val="-"/>
      <w:lvlJc w:val="left"/>
      <w:pPr>
        <w:ind w:left="720" w:hanging="360"/>
      </w:pPr>
      <w:rPr>
        <w:rFonts w:ascii="Calibri" w:hAnsi="Calibri" w:hint="default"/>
      </w:rPr>
    </w:lvl>
    <w:lvl w:ilvl="1" w:tplc="6FCEC5F6">
      <w:start w:val="1"/>
      <w:numFmt w:val="bullet"/>
      <w:lvlText w:val="o"/>
      <w:lvlJc w:val="left"/>
      <w:pPr>
        <w:ind w:left="1440" w:hanging="360"/>
      </w:pPr>
      <w:rPr>
        <w:rFonts w:ascii="Courier New" w:hAnsi="Courier New" w:hint="default"/>
      </w:rPr>
    </w:lvl>
    <w:lvl w:ilvl="2" w:tplc="04CC434A">
      <w:start w:val="1"/>
      <w:numFmt w:val="bullet"/>
      <w:lvlText w:val=""/>
      <w:lvlJc w:val="left"/>
      <w:pPr>
        <w:ind w:left="2160" w:hanging="360"/>
      </w:pPr>
      <w:rPr>
        <w:rFonts w:ascii="Wingdings" w:hAnsi="Wingdings" w:hint="default"/>
      </w:rPr>
    </w:lvl>
    <w:lvl w:ilvl="3" w:tplc="CEA8B7CC">
      <w:start w:val="1"/>
      <w:numFmt w:val="bullet"/>
      <w:lvlText w:val=""/>
      <w:lvlJc w:val="left"/>
      <w:pPr>
        <w:ind w:left="2880" w:hanging="360"/>
      </w:pPr>
      <w:rPr>
        <w:rFonts w:ascii="Symbol" w:hAnsi="Symbol" w:hint="default"/>
      </w:rPr>
    </w:lvl>
    <w:lvl w:ilvl="4" w:tplc="83CC96AA">
      <w:start w:val="1"/>
      <w:numFmt w:val="bullet"/>
      <w:lvlText w:val="o"/>
      <w:lvlJc w:val="left"/>
      <w:pPr>
        <w:ind w:left="3600" w:hanging="360"/>
      </w:pPr>
      <w:rPr>
        <w:rFonts w:ascii="Courier New" w:hAnsi="Courier New" w:hint="default"/>
      </w:rPr>
    </w:lvl>
    <w:lvl w:ilvl="5" w:tplc="6C28BB2C">
      <w:start w:val="1"/>
      <w:numFmt w:val="bullet"/>
      <w:lvlText w:val=""/>
      <w:lvlJc w:val="left"/>
      <w:pPr>
        <w:ind w:left="4320" w:hanging="360"/>
      </w:pPr>
      <w:rPr>
        <w:rFonts w:ascii="Wingdings" w:hAnsi="Wingdings" w:hint="default"/>
      </w:rPr>
    </w:lvl>
    <w:lvl w:ilvl="6" w:tplc="FE3E173C">
      <w:start w:val="1"/>
      <w:numFmt w:val="bullet"/>
      <w:lvlText w:val=""/>
      <w:lvlJc w:val="left"/>
      <w:pPr>
        <w:ind w:left="5040" w:hanging="360"/>
      </w:pPr>
      <w:rPr>
        <w:rFonts w:ascii="Symbol" w:hAnsi="Symbol" w:hint="default"/>
      </w:rPr>
    </w:lvl>
    <w:lvl w:ilvl="7" w:tplc="C8526B20">
      <w:start w:val="1"/>
      <w:numFmt w:val="bullet"/>
      <w:lvlText w:val="o"/>
      <w:lvlJc w:val="left"/>
      <w:pPr>
        <w:ind w:left="5760" w:hanging="360"/>
      </w:pPr>
      <w:rPr>
        <w:rFonts w:ascii="Courier New" w:hAnsi="Courier New" w:hint="default"/>
      </w:rPr>
    </w:lvl>
    <w:lvl w:ilvl="8" w:tplc="09C085D6">
      <w:start w:val="1"/>
      <w:numFmt w:val="bullet"/>
      <w:lvlText w:val=""/>
      <w:lvlJc w:val="left"/>
      <w:pPr>
        <w:ind w:left="6480" w:hanging="360"/>
      </w:pPr>
      <w:rPr>
        <w:rFonts w:ascii="Wingdings" w:hAnsi="Wingdings" w:hint="default"/>
      </w:rPr>
    </w:lvl>
  </w:abstractNum>
  <w:abstractNum w:abstractNumId="6" w15:restartNumberingAfterBreak="0">
    <w:nsid w:val="19EE6F57"/>
    <w:multiLevelType w:val="hybridMultilevel"/>
    <w:tmpl w:val="B3568624"/>
    <w:lvl w:ilvl="0" w:tplc="2A2403F2">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E210B7F"/>
    <w:multiLevelType w:val="hybridMultilevel"/>
    <w:tmpl w:val="19CAE006"/>
    <w:lvl w:ilvl="0" w:tplc="15E2F9CE">
      <w:start w:val="3"/>
      <w:numFmt w:val="bullet"/>
      <w:lvlText w:val="-"/>
      <w:lvlJc w:val="left"/>
      <w:pPr>
        <w:ind w:left="720" w:hanging="360"/>
      </w:pPr>
      <w:rPr>
        <w:rFonts w:ascii="Arial" w:eastAsia="Times New Roman" w:hAnsi="Aria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44240B4"/>
    <w:multiLevelType w:val="multilevel"/>
    <w:tmpl w:val="079EB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554C81"/>
    <w:multiLevelType w:val="hybridMultilevel"/>
    <w:tmpl w:val="56F447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9DB60D8"/>
    <w:multiLevelType w:val="multilevel"/>
    <w:tmpl w:val="35E0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0576E0"/>
    <w:multiLevelType w:val="hybridMultilevel"/>
    <w:tmpl w:val="9EE40F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83B6A7E"/>
    <w:multiLevelType w:val="multilevel"/>
    <w:tmpl w:val="542ECF90"/>
    <w:lvl w:ilvl="0">
      <w:start w:val="1"/>
      <w:numFmt w:val="upperRoman"/>
      <w:lvlText w:val="%1."/>
      <w:lvlJc w:val="right"/>
      <w:pPr>
        <w:ind w:left="360" w:hanging="360"/>
      </w:pPr>
      <w:rPr>
        <w:rFonts w:hint="default"/>
        <w:b/>
        <w:bCs w:val="0"/>
        <w:color w:val="000000" w:themeColor="text1"/>
      </w:rPr>
    </w:lvl>
    <w:lvl w:ilvl="1">
      <w:start w:val="1"/>
      <w:numFmt w:val="decimal"/>
      <w:lvlText w:val="%2)"/>
      <w:lvlJc w:val="left"/>
      <w:pPr>
        <w:ind w:left="360" w:hanging="360"/>
      </w:pPr>
      <w:rPr>
        <w:rFonts w:hint="default"/>
      </w:rPr>
    </w:lvl>
    <w:lvl w:ilvl="2">
      <w:start w:val="1"/>
      <w:numFmt w:val="lowerRoman"/>
      <w:lvlText w:val="%3 - "/>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A48153F"/>
    <w:multiLevelType w:val="hybridMultilevel"/>
    <w:tmpl w:val="AF12B86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BDC2A14"/>
    <w:multiLevelType w:val="hybridMultilevel"/>
    <w:tmpl w:val="E2020752"/>
    <w:lvl w:ilvl="0" w:tplc="2F067C9E">
      <w:start w:val="1"/>
      <w:numFmt w:val="bullet"/>
      <w:lvlText w:val="-"/>
      <w:lvlJc w:val="left"/>
      <w:pPr>
        <w:ind w:left="720" w:hanging="360"/>
      </w:pPr>
      <w:rPr>
        <w:rFonts w:ascii="Calibri" w:hAnsi="Calibri" w:hint="default"/>
      </w:rPr>
    </w:lvl>
    <w:lvl w:ilvl="1" w:tplc="3424BDC8">
      <w:start w:val="1"/>
      <w:numFmt w:val="bullet"/>
      <w:lvlText w:val="o"/>
      <w:lvlJc w:val="left"/>
      <w:pPr>
        <w:ind w:left="1440" w:hanging="360"/>
      </w:pPr>
      <w:rPr>
        <w:rFonts w:ascii="Courier New" w:hAnsi="Courier New" w:hint="default"/>
      </w:rPr>
    </w:lvl>
    <w:lvl w:ilvl="2" w:tplc="2CE47D52">
      <w:start w:val="1"/>
      <w:numFmt w:val="bullet"/>
      <w:lvlText w:val=""/>
      <w:lvlJc w:val="left"/>
      <w:pPr>
        <w:ind w:left="2160" w:hanging="360"/>
      </w:pPr>
      <w:rPr>
        <w:rFonts w:ascii="Wingdings" w:hAnsi="Wingdings" w:hint="default"/>
      </w:rPr>
    </w:lvl>
    <w:lvl w:ilvl="3" w:tplc="32C899E4">
      <w:start w:val="1"/>
      <w:numFmt w:val="bullet"/>
      <w:lvlText w:val=""/>
      <w:lvlJc w:val="left"/>
      <w:pPr>
        <w:ind w:left="2880" w:hanging="360"/>
      </w:pPr>
      <w:rPr>
        <w:rFonts w:ascii="Symbol" w:hAnsi="Symbol" w:hint="default"/>
      </w:rPr>
    </w:lvl>
    <w:lvl w:ilvl="4" w:tplc="2A66E27C">
      <w:start w:val="1"/>
      <w:numFmt w:val="bullet"/>
      <w:lvlText w:val="o"/>
      <w:lvlJc w:val="left"/>
      <w:pPr>
        <w:ind w:left="3600" w:hanging="360"/>
      </w:pPr>
      <w:rPr>
        <w:rFonts w:ascii="Courier New" w:hAnsi="Courier New" w:hint="default"/>
      </w:rPr>
    </w:lvl>
    <w:lvl w:ilvl="5" w:tplc="716CAAD0">
      <w:start w:val="1"/>
      <w:numFmt w:val="bullet"/>
      <w:lvlText w:val=""/>
      <w:lvlJc w:val="left"/>
      <w:pPr>
        <w:ind w:left="4320" w:hanging="360"/>
      </w:pPr>
      <w:rPr>
        <w:rFonts w:ascii="Wingdings" w:hAnsi="Wingdings" w:hint="default"/>
      </w:rPr>
    </w:lvl>
    <w:lvl w:ilvl="6" w:tplc="9E28CB82">
      <w:start w:val="1"/>
      <w:numFmt w:val="bullet"/>
      <w:lvlText w:val=""/>
      <w:lvlJc w:val="left"/>
      <w:pPr>
        <w:ind w:left="5040" w:hanging="360"/>
      </w:pPr>
      <w:rPr>
        <w:rFonts w:ascii="Symbol" w:hAnsi="Symbol" w:hint="default"/>
      </w:rPr>
    </w:lvl>
    <w:lvl w:ilvl="7" w:tplc="D0D05A6E">
      <w:start w:val="1"/>
      <w:numFmt w:val="bullet"/>
      <w:lvlText w:val="o"/>
      <w:lvlJc w:val="left"/>
      <w:pPr>
        <w:ind w:left="5760" w:hanging="360"/>
      </w:pPr>
      <w:rPr>
        <w:rFonts w:ascii="Courier New" w:hAnsi="Courier New" w:hint="default"/>
      </w:rPr>
    </w:lvl>
    <w:lvl w:ilvl="8" w:tplc="913C53EE">
      <w:start w:val="1"/>
      <w:numFmt w:val="bullet"/>
      <w:lvlText w:val=""/>
      <w:lvlJc w:val="left"/>
      <w:pPr>
        <w:ind w:left="6480" w:hanging="360"/>
      </w:pPr>
      <w:rPr>
        <w:rFonts w:ascii="Wingdings" w:hAnsi="Wingdings" w:hint="default"/>
      </w:rPr>
    </w:lvl>
  </w:abstractNum>
  <w:abstractNum w:abstractNumId="15" w15:restartNumberingAfterBreak="0">
    <w:nsid w:val="42E22A11"/>
    <w:multiLevelType w:val="hybridMultilevel"/>
    <w:tmpl w:val="03DA12C2"/>
    <w:lvl w:ilvl="0" w:tplc="8948FA1E">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3D04282"/>
    <w:multiLevelType w:val="hybridMultilevel"/>
    <w:tmpl w:val="0FAA67AE"/>
    <w:lvl w:ilvl="0" w:tplc="593837B8">
      <w:start w:val="1"/>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07E47FA"/>
    <w:multiLevelType w:val="hybridMultilevel"/>
    <w:tmpl w:val="1214C9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80E4CE9"/>
    <w:multiLevelType w:val="multilevel"/>
    <w:tmpl w:val="AE0C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A37E77"/>
    <w:multiLevelType w:val="hybridMultilevel"/>
    <w:tmpl w:val="8B166350"/>
    <w:lvl w:ilvl="0" w:tplc="6CC8A460">
      <w:start w:val="3"/>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A4964DC"/>
    <w:multiLevelType w:val="hybridMultilevel"/>
    <w:tmpl w:val="80F80DCE"/>
    <w:lvl w:ilvl="0" w:tplc="593837B8">
      <w:start w:val="1"/>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5092347"/>
    <w:multiLevelType w:val="hybridMultilevel"/>
    <w:tmpl w:val="333E44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5C55E9B"/>
    <w:multiLevelType w:val="hybridMultilevel"/>
    <w:tmpl w:val="64B026F8"/>
    <w:lvl w:ilvl="0" w:tplc="2B1A060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9DC3BEF"/>
    <w:multiLevelType w:val="hybridMultilevel"/>
    <w:tmpl w:val="F29278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B681F4F"/>
    <w:multiLevelType w:val="hybridMultilevel"/>
    <w:tmpl w:val="84FE7132"/>
    <w:lvl w:ilvl="0" w:tplc="A2C87434">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2423681">
    <w:abstractNumId w:val="3"/>
  </w:num>
  <w:num w:numId="2" w16cid:durableId="561454318">
    <w:abstractNumId w:val="17"/>
  </w:num>
  <w:num w:numId="3" w16cid:durableId="727070520">
    <w:abstractNumId w:val="22"/>
  </w:num>
  <w:num w:numId="4" w16cid:durableId="1824392029">
    <w:abstractNumId w:val="20"/>
  </w:num>
  <w:num w:numId="5" w16cid:durableId="1382704106">
    <w:abstractNumId w:val="9"/>
  </w:num>
  <w:num w:numId="6" w16cid:durableId="462191700">
    <w:abstractNumId w:val="16"/>
  </w:num>
  <w:num w:numId="7" w16cid:durableId="1107387399">
    <w:abstractNumId w:val="11"/>
  </w:num>
  <w:num w:numId="8" w16cid:durableId="216284340">
    <w:abstractNumId w:val="17"/>
  </w:num>
  <w:num w:numId="9" w16cid:durableId="1635017125">
    <w:abstractNumId w:val="3"/>
  </w:num>
  <w:num w:numId="10" w16cid:durableId="1359160353">
    <w:abstractNumId w:val="21"/>
  </w:num>
  <w:num w:numId="11" w16cid:durableId="1171337282">
    <w:abstractNumId w:val="13"/>
  </w:num>
  <w:num w:numId="12" w16cid:durableId="2001930743">
    <w:abstractNumId w:val="23"/>
  </w:num>
  <w:num w:numId="13" w16cid:durableId="565917363">
    <w:abstractNumId w:val="8"/>
  </w:num>
  <w:num w:numId="14" w16cid:durableId="109319345">
    <w:abstractNumId w:val="10"/>
  </w:num>
  <w:num w:numId="15" w16cid:durableId="2131318501">
    <w:abstractNumId w:val="2"/>
  </w:num>
  <w:num w:numId="16" w16cid:durableId="16203692">
    <w:abstractNumId w:val="18"/>
  </w:num>
  <w:num w:numId="17" w16cid:durableId="2045789199">
    <w:abstractNumId w:val="0"/>
  </w:num>
  <w:num w:numId="18" w16cid:durableId="1586957929">
    <w:abstractNumId w:val="6"/>
  </w:num>
  <w:num w:numId="19" w16cid:durableId="531768494">
    <w:abstractNumId w:val="15"/>
  </w:num>
  <w:num w:numId="20" w16cid:durableId="514925036">
    <w:abstractNumId w:val="12"/>
  </w:num>
  <w:num w:numId="21" w16cid:durableId="1024593859">
    <w:abstractNumId w:val="24"/>
  </w:num>
  <w:num w:numId="22" w16cid:durableId="574509447">
    <w:abstractNumId w:val="19"/>
  </w:num>
  <w:num w:numId="23" w16cid:durableId="356390283">
    <w:abstractNumId w:val="7"/>
  </w:num>
  <w:num w:numId="24" w16cid:durableId="391466495">
    <w:abstractNumId w:val="4"/>
  </w:num>
  <w:num w:numId="25" w16cid:durableId="329797851">
    <w:abstractNumId w:val="1"/>
  </w:num>
  <w:num w:numId="26" w16cid:durableId="1115368487">
    <w:abstractNumId w:val="14"/>
  </w:num>
  <w:num w:numId="27" w16cid:durableId="15034251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xsbA0NDM3NjMyNrNQ0lEKTi0uzszPAykwqQUAAx5YCCwAAAA="/>
  </w:docVars>
  <w:rsids>
    <w:rsidRoot w:val="0023355E"/>
    <w:rsid w:val="00001601"/>
    <w:rsid w:val="00006F33"/>
    <w:rsid w:val="00014C0F"/>
    <w:rsid w:val="0001529A"/>
    <w:rsid w:val="00021F5A"/>
    <w:rsid w:val="00024193"/>
    <w:rsid w:val="00025674"/>
    <w:rsid w:val="0002597E"/>
    <w:rsid w:val="0003093C"/>
    <w:rsid w:val="00031C23"/>
    <w:rsid w:val="00032624"/>
    <w:rsid w:val="000333B4"/>
    <w:rsid w:val="00033B6F"/>
    <w:rsid w:val="0003696C"/>
    <w:rsid w:val="00041F7A"/>
    <w:rsid w:val="000423A6"/>
    <w:rsid w:val="00047856"/>
    <w:rsid w:val="00055D05"/>
    <w:rsid w:val="00055E97"/>
    <w:rsid w:val="00060F9E"/>
    <w:rsid w:val="00077080"/>
    <w:rsid w:val="000778D1"/>
    <w:rsid w:val="00077B8B"/>
    <w:rsid w:val="0008158F"/>
    <w:rsid w:val="00087140"/>
    <w:rsid w:val="00091729"/>
    <w:rsid w:val="0009307D"/>
    <w:rsid w:val="0009466E"/>
    <w:rsid w:val="000A0C69"/>
    <w:rsid w:val="000A23E4"/>
    <w:rsid w:val="000A4984"/>
    <w:rsid w:val="000A4F3B"/>
    <w:rsid w:val="000B0F03"/>
    <w:rsid w:val="000B173C"/>
    <w:rsid w:val="000B2342"/>
    <w:rsid w:val="000B3DFD"/>
    <w:rsid w:val="000B48BB"/>
    <w:rsid w:val="000B5DE2"/>
    <w:rsid w:val="000B6843"/>
    <w:rsid w:val="000C1245"/>
    <w:rsid w:val="000C318D"/>
    <w:rsid w:val="000D2798"/>
    <w:rsid w:val="000D61C7"/>
    <w:rsid w:val="000E032D"/>
    <w:rsid w:val="000E3154"/>
    <w:rsid w:val="000E3FEB"/>
    <w:rsid w:val="000E6064"/>
    <w:rsid w:val="000E73B1"/>
    <w:rsid w:val="000E765A"/>
    <w:rsid w:val="000F0A22"/>
    <w:rsid w:val="000F0AE1"/>
    <w:rsid w:val="000F4D4B"/>
    <w:rsid w:val="00103DD8"/>
    <w:rsid w:val="00107827"/>
    <w:rsid w:val="00110A06"/>
    <w:rsid w:val="00110CC2"/>
    <w:rsid w:val="00113338"/>
    <w:rsid w:val="0011539A"/>
    <w:rsid w:val="00115A43"/>
    <w:rsid w:val="001177FB"/>
    <w:rsid w:val="00121DF7"/>
    <w:rsid w:val="00121E64"/>
    <w:rsid w:val="0012265C"/>
    <w:rsid w:val="001278BC"/>
    <w:rsid w:val="0013684B"/>
    <w:rsid w:val="00146E1A"/>
    <w:rsid w:val="00147BBB"/>
    <w:rsid w:val="00151530"/>
    <w:rsid w:val="001532E6"/>
    <w:rsid w:val="00155936"/>
    <w:rsid w:val="001626EF"/>
    <w:rsid w:val="001644B2"/>
    <w:rsid w:val="00165D12"/>
    <w:rsid w:val="00166B5D"/>
    <w:rsid w:val="00167B1A"/>
    <w:rsid w:val="00171385"/>
    <w:rsid w:val="00171463"/>
    <w:rsid w:val="00174854"/>
    <w:rsid w:val="0018384E"/>
    <w:rsid w:val="0018468E"/>
    <w:rsid w:val="00184AC7"/>
    <w:rsid w:val="0018527A"/>
    <w:rsid w:val="001871B3"/>
    <w:rsid w:val="001871E2"/>
    <w:rsid w:val="00190A21"/>
    <w:rsid w:val="0019142F"/>
    <w:rsid w:val="001978D0"/>
    <w:rsid w:val="001A0CA6"/>
    <w:rsid w:val="001A0F70"/>
    <w:rsid w:val="001A1C77"/>
    <w:rsid w:val="001A236B"/>
    <w:rsid w:val="001A5DEF"/>
    <w:rsid w:val="001A7AD5"/>
    <w:rsid w:val="001B107E"/>
    <w:rsid w:val="001B2B0E"/>
    <w:rsid w:val="001B380C"/>
    <w:rsid w:val="001B3DA2"/>
    <w:rsid w:val="001B46E9"/>
    <w:rsid w:val="001B53CD"/>
    <w:rsid w:val="001C6273"/>
    <w:rsid w:val="001D1CB7"/>
    <w:rsid w:val="001D2DE4"/>
    <w:rsid w:val="001D7751"/>
    <w:rsid w:val="001E10EE"/>
    <w:rsid w:val="001E16E8"/>
    <w:rsid w:val="001E2A7E"/>
    <w:rsid w:val="001E320E"/>
    <w:rsid w:val="001E3931"/>
    <w:rsid w:val="001E58FD"/>
    <w:rsid w:val="001E7D4C"/>
    <w:rsid w:val="001F2117"/>
    <w:rsid w:val="001F6F51"/>
    <w:rsid w:val="001F7468"/>
    <w:rsid w:val="00201356"/>
    <w:rsid w:val="00203491"/>
    <w:rsid w:val="002046C5"/>
    <w:rsid w:val="00204F17"/>
    <w:rsid w:val="00205D8D"/>
    <w:rsid w:val="0021192D"/>
    <w:rsid w:val="00213FB7"/>
    <w:rsid w:val="002167F9"/>
    <w:rsid w:val="00216C9B"/>
    <w:rsid w:val="0021725B"/>
    <w:rsid w:val="00217B66"/>
    <w:rsid w:val="0022564D"/>
    <w:rsid w:val="00225E67"/>
    <w:rsid w:val="002275B8"/>
    <w:rsid w:val="0023355E"/>
    <w:rsid w:val="002372DA"/>
    <w:rsid w:val="00240052"/>
    <w:rsid w:val="00241FA9"/>
    <w:rsid w:val="00244B81"/>
    <w:rsid w:val="00244BCE"/>
    <w:rsid w:val="00245303"/>
    <w:rsid w:val="00246F11"/>
    <w:rsid w:val="00250E40"/>
    <w:rsid w:val="0025389C"/>
    <w:rsid w:val="002629ED"/>
    <w:rsid w:val="002668AA"/>
    <w:rsid w:val="00271A9B"/>
    <w:rsid w:val="00276502"/>
    <w:rsid w:val="0029034F"/>
    <w:rsid w:val="00294F9D"/>
    <w:rsid w:val="002A5FAC"/>
    <w:rsid w:val="002A7998"/>
    <w:rsid w:val="002B129F"/>
    <w:rsid w:val="002B383B"/>
    <w:rsid w:val="002B3876"/>
    <w:rsid w:val="002B4598"/>
    <w:rsid w:val="002C0DD1"/>
    <w:rsid w:val="002C6A17"/>
    <w:rsid w:val="002C766F"/>
    <w:rsid w:val="002D10E1"/>
    <w:rsid w:val="002D400C"/>
    <w:rsid w:val="002D63D6"/>
    <w:rsid w:val="002E2F27"/>
    <w:rsid w:val="002E772F"/>
    <w:rsid w:val="002F09E3"/>
    <w:rsid w:val="002F206B"/>
    <w:rsid w:val="002F2322"/>
    <w:rsid w:val="002F2723"/>
    <w:rsid w:val="002F341F"/>
    <w:rsid w:val="002F74F9"/>
    <w:rsid w:val="002F7D2D"/>
    <w:rsid w:val="003004B7"/>
    <w:rsid w:val="0030098E"/>
    <w:rsid w:val="00300CC7"/>
    <w:rsid w:val="0030135E"/>
    <w:rsid w:val="00301C44"/>
    <w:rsid w:val="00301E52"/>
    <w:rsid w:val="00302348"/>
    <w:rsid w:val="00304FFD"/>
    <w:rsid w:val="003051A9"/>
    <w:rsid w:val="003067E0"/>
    <w:rsid w:val="003128CC"/>
    <w:rsid w:val="00313375"/>
    <w:rsid w:val="003148EB"/>
    <w:rsid w:val="0031703E"/>
    <w:rsid w:val="00317B06"/>
    <w:rsid w:val="00320B5F"/>
    <w:rsid w:val="0033048D"/>
    <w:rsid w:val="003308F6"/>
    <w:rsid w:val="00331255"/>
    <w:rsid w:val="003336BE"/>
    <w:rsid w:val="00333AF2"/>
    <w:rsid w:val="003340EA"/>
    <w:rsid w:val="003369D4"/>
    <w:rsid w:val="003423A0"/>
    <w:rsid w:val="00343154"/>
    <w:rsid w:val="0034535C"/>
    <w:rsid w:val="00345869"/>
    <w:rsid w:val="00351955"/>
    <w:rsid w:val="00352298"/>
    <w:rsid w:val="0035382D"/>
    <w:rsid w:val="00357C97"/>
    <w:rsid w:val="00357DDF"/>
    <w:rsid w:val="003608A6"/>
    <w:rsid w:val="00361718"/>
    <w:rsid w:val="003629F0"/>
    <w:rsid w:val="00363ACA"/>
    <w:rsid w:val="00365A2C"/>
    <w:rsid w:val="00370424"/>
    <w:rsid w:val="0037460A"/>
    <w:rsid w:val="00374F01"/>
    <w:rsid w:val="0038113E"/>
    <w:rsid w:val="003857D1"/>
    <w:rsid w:val="00386957"/>
    <w:rsid w:val="00390347"/>
    <w:rsid w:val="0039122A"/>
    <w:rsid w:val="00391949"/>
    <w:rsid w:val="00392878"/>
    <w:rsid w:val="0039289B"/>
    <w:rsid w:val="003929BF"/>
    <w:rsid w:val="003A260F"/>
    <w:rsid w:val="003A2D4D"/>
    <w:rsid w:val="003B44D9"/>
    <w:rsid w:val="003B5F36"/>
    <w:rsid w:val="003B6998"/>
    <w:rsid w:val="003C30F6"/>
    <w:rsid w:val="003C41B9"/>
    <w:rsid w:val="003C4A7D"/>
    <w:rsid w:val="003D11AF"/>
    <w:rsid w:val="003D400A"/>
    <w:rsid w:val="003D43C1"/>
    <w:rsid w:val="003D7677"/>
    <w:rsid w:val="003E1EDA"/>
    <w:rsid w:val="003E6414"/>
    <w:rsid w:val="003E7262"/>
    <w:rsid w:val="003F2C4C"/>
    <w:rsid w:val="003F2FE1"/>
    <w:rsid w:val="00400CC9"/>
    <w:rsid w:val="00404B3A"/>
    <w:rsid w:val="00405F6E"/>
    <w:rsid w:val="00410956"/>
    <w:rsid w:val="00411AC7"/>
    <w:rsid w:val="00413906"/>
    <w:rsid w:val="00414B2E"/>
    <w:rsid w:val="004155D3"/>
    <w:rsid w:val="00415822"/>
    <w:rsid w:val="00423652"/>
    <w:rsid w:val="00425772"/>
    <w:rsid w:val="00425901"/>
    <w:rsid w:val="004267B5"/>
    <w:rsid w:val="00431136"/>
    <w:rsid w:val="00433E30"/>
    <w:rsid w:val="004349A4"/>
    <w:rsid w:val="004439CB"/>
    <w:rsid w:val="00443E73"/>
    <w:rsid w:val="00445042"/>
    <w:rsid w:val="00451D0A"/>
    <w:rsid w:val="0045334C"/>
    <w:rsid w:val="00462DE0"/>
    <w:rsid w:val="0047223C"/>
    <w:rsid w:val="004733A4"/>
    <w:rsid w:val="00473F72"/>
    <w:rsid w:val="004746F6"/>
    <w:rsid w:val="00476D5F"/>
    <w:rsid w:val="004815E1"/>
    <w:rsid w:val="00482C81"/>
    <w:rsid w:val="00484ADD"/>
    <w:rsid w:val="00484B30"/>
    <w:rsid w:val="00486EA0"/>
    <w:rsid w:val="00491607"/>
    <w:rsid w:val="004A113D"/>
    <w:rsid w:val="004A1FB0"/>
    <w:rsid w:val="004A3834"/>
    <w:rsid w:val="004A7161"/>
    <w:rsid w:val="004A7A64"/>
    <w:rsid w:val="004B016A"/>
    <w:rsid w:val="004B1B4A"/>
    <w:rsid w:val="004B2A7D"/>
    <w:rsid w:val="004B4A13"/>
    <w:rsid w:val="004B5374"/>
    <w:rsid w:val="004C1523"/>
    <w:rsid w:val="004C3281"/>
    <w:rsid w:val="004C6BE6"/>
    <w:rsid w:val="004C750A"/>
    <w:rsid w:val="004D1BC5"/>
    <w:rsid w:val="004D3213"/>
    <w:rsid w:val="004D4768"/>
    <w:rsid w:val="004D67AA"/>
    <w:rsid w:val="004E1F59"/>
    <w:rsid w:val="004E284F"/>
    <w:rsid w:val="004E3C6F"/>
    <w:rsid w:val="004E3C75"/>
    <w:rsid w:val="004E3FF8"/>
    <w:rsid w:val="004E5875"/>
    <w:rsid w:val="004E63FC"/>
    <w:rsid w:val="004F0643"/>
    <w:rsid w:val="004F74FD"/>
    <w:rsid w:val="0051089F"/>
    <w:rsid w:val="00510BA8"/>
    <w:rsid w:val="005119BD"/>
    <w:rsid w:val="005158EC"/>
    <w:rsid w:val="005178A0"/>
    <w:rsid w:val="0052161A"/>
    <w:rsid w:val="00521F45"/>
    <w:rsid w:val="00533776"/>
    <w:rsid w:val="00534C6A"/>
    <w:rsid w:val="005369BC"/>
    <w:rsid w:val="00537049"/>
    <w:rsid w:val="005400B1"/>
    <w:rsid w:val="0054162F"/>
    <w:rsid w:val="00542042"/>
    <w:rsid w:val="00544ADF"/>
    <w:rsid w:val="00544AF0"/>
    <w:rsid w:val="00544F09"/>
    <w:rsid w:val="005450C1"/>
    <w:rsid w:val="00546319"/>
    <w:rsid w:val="0055180C"/>
    <w:rsid w:val="00551DDA"/>
    <w:rsid w:val="005526D2"/>
    <w:rsid w:val="0055296B"/>
    <w:rsid w:val="00552D72"/>
    <w:rsid w:val="005547A1"/>
    <w:rsid w:val="005636C7"/>
    <w:rsid w:val="005711E6"/>
    <w:rsid w:val="00575A9E"/>
    <w:rsid w:val="0058103D"/>
    <w:rsid w:val="005817D8"/>
    <w:rsid w:val="00581EF3"/>
    <w:rsid w:val="00582917"/>
    <w:rsid w:val="0058449D"/>
    <w:rsid w:val="0059247A"/>
    <w:rsid w:val="00592C34"/>
    <w:rsid w:val="005937E8"/>
    <w:rsid w:val="00594199"/>
    <w:rsid w:val="00594A76"/>
    <w:rsid w:val="005969BB"/>
    <w:rsid w:val="005A6EA2"/>
    <w:rsid w:val="005B0155"/>
    <w:rsid w:val="005B27B4"/>
    <w:rsid w:val="005B505E"/>
    <w:rsid w:val="005C7B61"/>
    <w:rsid w:val="005D04F4"/>
    <w:rsid w:val="005D3567"/>
    <w:rsid w:val="005D3AB8"/>
    <w:rsid w:val="005D74F7"/>
    <w:rsid w:val="005E2CBF"/>
    <w:rsid w:val="005F25AA"/>
    <w:rsid w:val="005F5030"/>
    <w:rsid w:val="005F650C"/>
    <w:rsid w:val="005F710D"/>
    <w:rsid w:val="00600779"/>
    <w:rsid w:val="00601040"/>
    <w:rsid w:val="00601AAA"/>
    <w:rsid w:val="0060268F"/>
    <w:rsid w:val="00602C00"/>
    <w:rsid w:val="006105A6"/>
    <w:rsid w:val="0061113F"/>
    <w:rsid w:val="00611598"/>
    <w:rsid w:val="00614726"/>
    <w:rsid w:val="00615B85"/>
    <w:rsid w:val="0061735F"/>
    <w:rsid w:val="00624B65"/>
    <w:rsid w:val="0063018A"/>
    <w:rsid w:val="006305D9"/>
    <w:rsid w:val="00630EC3"/>
    <w:rsid w:val="0063164E"/>
    <w:rsid w:val="00631C7C"/>
    <w:rsid w:val="00631F81"/>
    <w:rsid w:val="006361A0"/>
    <w:rsid w:val="00640559"/>
    <w:rsid w:val="00650244"/>
    <w:rsid w:val="0065540D"/>
    <w:rsid w:val="00655EFE"/>
    <w:rsid w:val="006562F5"/>
    <w:rsid w:val="00657585"/>
    <w:rsid w:val="00665AE2"/>
    <w:rsid w:val="00665F76"/>
    <w:rsid w:val="00667024"/>
    <w:rsid w:val="006762A6"/>
    <w:rsid w:val="006767F2"/>
    <w:rsid w:val="006771DF"/>
    <w:rsid w:val="00681FC8"/>
    <w:rsid w:val="0068392B"/>
    <w:rsid w:val="006849FD"/>
    <w:rsid w:val="006860BB"/>
    <w:rsid w:val="0068686D"/>
    <w:rsid w:val="00690CE4"/>
    <w:rsid w:val="0069133B"/>
    <w:rsid w:val="00692E36"/>
    <w:rsid w:val="006949CB"/>
    <w:rsid w:val="0069763E"/>
    <w:rsid w:val="00697F21"/>
    <w:rsid w:val="006A229E"/>
    <w:rsid w:val="006A454F"/>
    <w:rsid w:val="006A562E"/>
    <w:rsid w:val="006A621D"/>
    <w:rsid w:val="006B0BD0"/>
    <w:rsid w:val="006C1438"/>
    <w:rsid w:val="006C34AA"/>
    <w:rsid w:val="006C35F2"/>
    <w:rsid w:val="006C6A05"/>
    <w:rsid w:val="006C7476"/>
    <w:rsid w:val="006D0BF3"/>
    <w:rsid w:val="006D14DE"/>
    <w:rsid w:val="006D3C2E"/>
    <w:rsid w:val="006D454B"/>
    <w:rsid w:val="006D5E2B"/>
    <w:rsid w:val="006E494D"/>
    <w:rsid w:val="006F3889"/>
    <w:rsid w:val="006F3FB7"/>
    <w:rsid w:val="006F4159"/>
    <w:rsid w:val="00700E9F"/>
    <w:rsid w:val="00702C17"/>
    <w:rsid w:val="0070420A"/>
    <w:rsid w:val="00707FF8"/>
    <w:rsid w:val="007112A4"/>
    <w:rsid w:val="00712F8E"/>
    <w:rsid w:val="0071659A"/>
    <w:rsid w:val="0072612E"/>
    <w:rsid w:val="0072621A"/>
    <w:rsid w:val="00726A07"/>
    <w:rsid w:val="007274CC"/>
    <w:rsid w:val="007312A1"/>
    <w:rsid w:val="00732988"/>
    <w:rsid w:val="00733B41"/>
    <w:rsid w:val="0073438C"/>
    <w:rsid w:val="00736AA7"/>
    <w:rsid w:val="0073782F"/>
    <w:rsid w:val="00743206"/>
    <w:rsid w:val="00743F16"/>
    <w:rsid w:val="00745896"/>
    <w:rsid w:val="00747F19"/>
    <w:rsid w:val="00751491"/>
    <w:rsid w:val="00752C88"/>
    <w:rsid w:val="00752E35"/>
    <w:rsid w:val="00754074"/>
    <w:rsid w:val="007554B3"/>
    <w:rsid w:val="00755DC3"/>
    <w:rsid w:val="007617DF"/>
    <w:rsid w:val="007706F3"/>
    <w:rsid w:val="00770D43"/>
    <w:rsid w:val="00776AB2"/>
    <w:rsid w:val="00776D0D"/>
    <w:rsid w:val="00782F50"/>
    <w:rsid w:val="0078366A"/>
    <w:rsid w:val="007841B9"/>
    <w:rsid w:val="007858F4"/>
    <w:rsid w:val="007871E9"/>
    <w:rsid w:val="00792726"/>
    <w:rsid w:val="007953E9"/>
    <w:rsid w:val="0079568A"/>
    <w:rsid w:val="00795882"/>
    <w:rsid w:val="00796729"/>
    <w:rsid w:val="007971E5"/>
    <w:rsid w:val="007A2DF8"/>
    <w:rsid w:val="007A3428"/>
    <w:rsid w:val="007A50B3"/>
    <w:rsid w:val="007A5BCD"/>
    <w:rsid w:val="007B21BF"/>
    <w:rsid w:val="007B29A7"/>
    <w:rsid w:val="007B5CED"/>
    <w:rsid w:val="007C1C29"/>
    <w:rsid w:val="007C711B"/>
    <w:rsid w:val="007C7CB9"/>
    <w:rsid w:val="007D4354"/>
    <w:rsid w:val="007E036C"/>
    <w:rsid w:val="007E0E9E"/>
    <w:rsid w:val="007E518C"/>
    <w:rsid w:val="007E7B78"/>
    <w:rsid w:val="007F26B8"/>
    <w:rsid w:val="007F765D"/>
    <w:rsid w:val="00802057"/>
    <w:rsid w:val="00802821"/>
    <w:rsid w:val="008045A4"/>
    <w:rsid w:val="00807809"/>
    <w:rsid w:val="008139B2"/>
    <w:rsid w:val="00813CC0"/>
    <w:rsid w:val="008158C3"/>
    <w:rsid w:val="008159A3"/>
    <w:rsid w:val="0081671C"/>
    <w:rsid w:val="008179FF"/>
    <w:rsid w:val="00822A2B"/>
    <w:rsid w:val="0082427B"/>
    <w:rsid w:val="00827FFA"/>
    <w:rsid w:val="00830CB6"/>
    <w:rsid w:val="00832378"/>
    <w:rsid w:val="0083354C"/>
    <w:rsid w:val="008359D7"/>
    <w:rsid w:val="00837625"/>
    <w:rsid w:val="00840C62"/>
    <w:rsid w:val="00841C20"/>
    <w:rsid w:val="00843588"/>
    <w:rsid w:val="008507F3"/>
    <w:rsid w:val="00851960"/>
    <w:rsid w:val="008526F4"/>
    <w:rsid w:val="0086122E"/>
    <w:rsid w:val="00862F48"/>
    <w:rsid w:val="008644F1"/>
    <w:rsid w:val="00867F9D"/>
    <w:rsid w:val="00873649"/>
    <w:rsid w:val="00874908"/>
    <w:rsid w:val="00874BB3"/>
    <w:rsid w:val="00881ABB"/>
    <w:rsid w:val="00881C13"/>
    <w:rsid w:val="00884FB3"/>
    <w:rsid w:val="0088507D"/>
    <w:rsid w:val="00885CC7"/>
    <w:rsid w:val="008908E9"/>
    <w:rsid w:val="008927CF"/>
    <w:rsid w:val="00893169"/>
    <w:rsid w:val="00893A8E"/>
    <w:rsid w:val="00896A27"/>
    <w:rsid w:val="00897286"/>
    <w:rsid w:val="008A06B2"/>
    <w:rsid w:val="008A0A8A"/>
    <w:rsid w:val="008A7155"/>
    <w:rsid w:val="008B76E8"/>
    <w:rsid w:val="008C0148"/>
    <w:rsid w:val="008C7FA0"/>
    <w:rsid w:val="008D3657"/>
    <w:rsid w:val="008E2DB6"/>
    <w:rsid w:val="008E4C28"/>
    <w:rsid w:val="008E78D5"/>
    <w:rsid w:val="008F2458"/>
    <w:rsid w:val="008F4D24"/>
    <w:rsid w:val="008F5134"/>
    <w:rsid w:val="008F74F0"/>
    <w:rsid w:val="0090116E"/>
    <w:rsid w:val="00904F43"/>
    <w:rsid w:val="009056B2"/>
    <w:rsid w:val="00912665"/>
    <w:rsid w:val="00912AE6"/>
    <w:rsid w:val="009140FA"/>
    <w:rsid w:val="00915909"/>
    <w:rsid w:val="00916CB9"/>
    <w:rsid w:val="00917B5B"/>
    <w:rsid w:val="00920B8C"/>
    <w:rsid w:val="009243B4"/>
    <w:rsid w:val="00925D32"/>
    <w:rsid w:val="009261B5"/>
    <w:rsid w:val="00926504"/>
    <w:rsid w:val="00930DE9"/>
    <w:rsid w:val="00931ACF"/>
    <w:rsid w:val="00931F2C"/>
    <w:rsid w:val="009321C4"/>
    <w:rsid w:val="00942072"/>
    <w:rsid w:val="00942EE3"/>
    <w:rsid w:val="009432AF"/>
    <w:rsid w:val="00944E03"/>
    <w:rsid w:val="00950459"/>
    <w:rsid w:val="009552CC"/>
    <w:rsid w:val="00963C03"/>
    <w:rsid w:val="009662FF"/>
    <w:rsid w:val="009734C8"/>
    <w:rsid w:val="00975858"/>
    <w:rsid w:val="00981D78"/>
    <w:rsid w:val="009826EF"/>
    <w:rsid w:val="00982C30"/>
    <w:rsid w:val="00983978"/>
    <w:rsid w:val="00984EA5"/>
    <w:rsid w:val="0098566A"/>
    <w:rsid w:val="00991E23"/>
    <w:rsid w:val="00992D1C"/>
    <w:rsid w:val="009939DD"/>
    <w:rsid w:val="0099632B"/>
    <w:rsid w:val="009A0648"/>
    <w:rsid w:val="009A2D67"/>
    <w:rsid w:val="009A3320"/>
    <w:rsid w:val="009B537B"/>
    <w:rsid w:val="009C0DB4"/>
    <w:rsid w:val="009C5382"/>
    <w:rsid w:val="009D0932"/>
    <w:rsid w:val="009D44BE"/>
    <w:rsid w:val="009D5F21"/>
    <w:rsid w:val="009D667E"/>
    <w:rsid w:val="009D6BAD"/>
    <w:rsid w:val="009E019F"/>
    <w:rsid w:val="009E05F1"/>
    <w:rsid w:val="009E16CB"/>
    <w:rsid w:val="009E3830"/>
    <w:rsid w:val="009E3EEE"/>
    <w:rsid w:val="009E5097"/>
    <w:rsid w:val="009F119B"/>
    <w:rsid w:val="009F2BBF"/>
    <w:rsid w:val="009F3DE0"/>
    <w:rsid w:val="009F598E"/>
    <w:rsid w:val="009F6A8E"/>
    <w:rsid w:val="00A00B3F"/>
    <w:rsid w:val="00A01185"/>
    <w:rsid w:val="00A01FBB"/>
    <w:rsid w:val="00A02CC6"/>
    <w:rsid w:val="00A03803"/>
    <w:rsid w:val="00A04759"/>
    <w:rsid w:val="00A1026C"/>
    <w:rsid w:val="00A12505"/>
    <w:rsid w:val="00A239C1"/>
    <w:rsid w:val="00A309A4"/>
    <w:rsid w:val="00A31E51"/>
    <w:rsid w:val="00A34A7B"/>
    <w:rsid w:val="00A37AE8"/>
    <w:rsid w:val="00A40267"/>
    <w:rsid w:val="00A41AA1"/>
    <w:rsid w:val="00A4580E"/>
    <w:rsid w:val="00A45BE4"/>
    <w:rsid w:val="00A45F9A"/>
    <w:rsid w:val="00A47C4E"/>
    <w:rsid w:val="00A510BE"/>
    <w:rsid w:val="00A51AE7"/>
    <w:rsid w:val="00A51B9E"/>
    <w:rsid w:val="00A525E8"/>
    <w:rsid w:val="00A52ABA"/>
    <w:rsid w:val="00A53107"/>
    <w:rsid w:val="00A535DA"/>
    <w:rsid w:val="00A557C1"/>
    <w:rsid w:val="00A606EA"/>
    <w:rsid w:val="00A608C8"/>
    <w:rsid w:val="00A67B3D"/>
    <w:rsid w:val="00A772DB"/>
    <w:rsid w:val="00A820FE"/>
    <w:rsid w:val="00A822DB"/>
    <w:rsid w:val="00A8383D"/>
    <w:rsid w:val="00A876B6"/>
    <w:rsid w:val="00A90C43"/>
    <w:rsid w:val="00A91AD3"/>
    <w:rsid w:val="00A938FD"/>
    <w:rsid w:val="00A9494C"/>
    <w:rsid w:val="00A97861"/>
    <w:rsid w:val="00AA2977"/>
    <w:rsid w:val="00AA51A6"/>
    <w:rsid w:val="00AB1A8D"/>
    <w:rsid w:val="00AB2ADE"/>
    <w:rsid w:val="00AC1E15"/>
    <w:rsid w:val="00AC476D"/>
    <w:rsid w:val="00AC5ABE"/>
    <w:rsid w:val="00AC62BA"/>
    <w:rsid w:val="00AC75B6"/>
    <w:rsid w:val="00AD41F1"/>
    <w:rsid w:val="00AD7D0A"/>
    <w:rsid w:val="00AE6CB4"/>
    <w:rsid w:val="00AF03A0"/>
    <w:rsid w:val="00AF25DD"/>
    <w:rsid w:val="00AF352D"/>
    <w:rsid w:val="00AF43A6"/>
    <w:rsid w:val="00AF637B"/>
    <w:rsid w:val="00AF7233"/>
    <w:rsid w:val="00B023AA"/>
    <w:rsid w:val="00B024D2"/>
    <w:rsid w:val="00B03E50"/>
    <w:rsid w:val="00B120DF"/>
    <w:rsid w:val="00B1348C"/>
    <w:rsid w:val="00B13C5F"/>
    <w:rsid w:val="00B21E41"/>
    <w:rsid w:val="00B27D8F"/>
    <w:rsid w:val="00B30302"/>
    <w:rsid w:val="00B3039F"/>
    <w:rsid w:val="00B36714"/>
    <w:rsid w:val="00B37460"/>
    <w:rsid w:val="00B42A1B"/>
    <w:rsid w:val="00B45BB1"/>
    <w:rsid w:val="00B479F7"/>
    <w:rsid w:val="00B518FA"/>
    <w:rsid w:val="00B5652F"/>
    <w:rsid w:val="00B5699D"/>
    <w:rsid w:val="00B62008"/>
    <w:rsid w:val="00B675B9"/>
    <w:rsid w:val="00B707B8"/>
    <w:rsid w:val="00B70ED0"/>
    <w:rsid w:val="00B72651"/>
    <w:rsid w:val="00B807BD"/>
    <w:rsid w:val="00B82050"/>
    <w:rsid w:val="00B84B25"/>
    <w:rsid w:val="00B9376B"/>
    <w:rsid w:val="00B960C6"/>
    <w:rsid w:val="00BA034A"/>
    <w:rsid w:val="00BA0F34"/>
    <w:rsid w:val="00BA1773"/>
    <w:rsid w:val="00BA191C"/>
    <w:rsid w:val="00BA5DFE"/>
    <w:rsid w:val="00BB1624"/>
    <w:rsid w:val="00BB3252"/>
    <w:rsid w:val="00BB32B2"/>
    <w:rsid w:val="00BB5979"/>
    <w:rsid w:val="00BB6943"/>
    <w:rsid w:val="00BC1002"/>
    <w:rsid w:val="00BC192C"/>
    <w:rsid w:val="00BC2353"/>
    <w:rsid w:val="00BC311D"/>
    <w:rsid w:val="00BC3C05"/>
    <w:rsid w:val="00BE0FC6"/>
    <w:rsid w:val="00BE2061"/>
    <w:rsid w:val="00BE2476"/>
    <w:rsid w:val="00BE3DA9"/>
    <w:rsid w:val="00BE5368"/>
    <w:rsid w:val="00C004AE"/>
    <w:rsid w:val="00C01101"/>
    <w:rsid w:val="00C012F1"/>
    <w:rsid w:val="00C0697C"/>
    <w:rsid w:val="00C07516"/>
    <w:rsid w:val="00C1323E"/>
    <w:rsid w:val="00C14162"/>
    <w:rsid w:val="00C2367D"/>
    <w:rsid w:val="00C23BA1"/>
    <w:rsid w:val="00C31B19"/>
    <w:rsid w:val="00C32C27"/>
    <w:rsid w:val="00C3439D"/>
    <w:rsid w:val="00C35E18"/>
    <w:rsid w:val="00C3638D"/>
    <w:rsid w:val="00C413DE"/>
    <w:rsid w:val="00C43FBF"/>
    <w:rsid w:val="00C45F21"/>
    <w:rsid w:val="00C52698"/>
    <w:rsid w:val="00C52951"/>
    <w:rsid w:val="00C60693"/>
    <w:rsid w:val="00C616EF"/>
    <w:rsid w:val="00C6257B"/>
    <w:rsid w:val="00C62BF9"/>
    <w:rsid w:val="00C62ED6"/>
    <w:rsid w:val="00C63A0F"/>
    <w:rsid w:val="00C65AAA"/>
    <w:rsid w:val="00C7259C"/>
    <w:rsid w:val="00C76C33"/>
    <w:rsid w:val="00C80545"/>
    <w:rsid w:val="00C8064B"/>
    <w:rsid w:val="00C84150"/>
    <w:rsid w:val="00C9329D"/>
    <w:rsid w:val="00CB1774"/>
    <w:rsid w:val="00CB23B3"/>
    <w:rsid w:val="00CC2AF3"/>
    <w:rsid w:val="00CC3C05"/>
    <w:rsid w:val="00CC6146"/>
    <w:rsid w:val="00CD02AB"/>
    <w:rsid w:val="00CD03BF"/>
    <w:rsid w:val="00CD278A"/>
    <w:rsid w:val="00CD27C0"/>
    <w:rsid w:val="00CD5609"/>
    <w:rsid w:val="00CD5FE5"/>
    <w:rsid w:val="00CD7A17"/>
    <w:rsid w:val="00CD7C7F"/>
    <w:rsid w:val="00CD7EC1"/>
    <w:rsid w:val="00CE1E6F"/>
    <w:rsid w:val="00CE5E3A"/>
    <w:rsid w:val="00CE669A"/>
    <w:rsid w:val="00CF043F"/>
    <w:rsid w:val="00CF0CC5"/>
    <w:rsid w:val="00CF3BC3"/>
    <w:rsid w:val="00CF52C0"/>
    <w:rsid w:val="00CF7930"/>
    <w:rsid w:val="00D025F9"/>
    <w:rsid w:val="00D10B84"/>
    <w:rsid w:val="00D13C18"/>
    <w:rsid w:val="00D1585F"/>
    <w:rsid w:val="00D217F0"/>
    <w:rsid w:val="00D22190"/>
    <w:rsid w:val="00D239AE"/>
    <w:rsid w:val="00D240A6"/>
    <w:rsid w:val="00D24163"/>
    <w:rsid w:val="00D32F9E"/>
    <w:rsid w:val="00D33792"/>
    <w:rsid w:val="00D3545A"/>
    <w:rsid w:val="00D36417"/>
    <w:rsid w:val="00D43E68"/>
    <w:rsid w:val="00D46527"/>
    <w:rsid w:val="00D47E4E"/>
    <w:rsid w:val="00D50113"/>
    <w:rsid w:val="00D52B75"/>
    <w:rsid w:val="00D55E71"/>
    <w:rsid w:val="00D636D1"/>
    <w:rsid w:val="00D654C8"/>
    <w:rsid w:val="00D72390"/>
    <w:rsid w:val="00D7240B"/>
    <w:rsid w:val="00D763EF"/>
    <w:rsid w:val="00D76BC8"/>
    <w:rsid w:val="00D76E91"/>
    <w:rsid w:val="00D82FC4"/>
    <w:rsid w:val="00D84265"/>
    <w:rsid w:val="00D844C4"/>
    <w:rsid w:val="00D849D9"/>
    <w:rsid w:val="00D9142E"/>
    <w:rsid w:val="00D93051"/>
    <w:rsid w:val="00D934B6"/>
    <w:rsid w:val="00D93B38"/>
    <w:rsid w:val="00D95855"/>
    <w:rsid w:val="00D95D61"/>
    <w:rsid w:val="00D969EE"/>
    <w:rsid w:val="00DA0CDB"/>
    <w:rsid w:val="00DA1904"/>
    <w:rsid w:val="00DA4016"/>
    <w:rsid w:val="00DA44E9"/>
    <w:rsid w:val="00DA4E26"/>
    <w:rsid w:val="00DA7B85"/>
    <w:rsid w:val="00DA7D97"/>
    <w:rsid w:val="00DA7FE0"/>
    <w:rsid w:val="00DB0B87"/>
    <w:rsid w:val="00DB10B6"/>
    <w:rsid w:val="00DB4B27"/>
    <w:rsid w:val="00DB5D3D"/>
    <w:rsid w:val="00DC10F7"/>
    <w:rsid w:val="00DC57BF"/>
    <w:rsid w:val="00DD27C8"/>
    <w:rsid w:val="00DD4969"/>
    <w:rsid w:val="00DD700B"/>
    <w:rsid w:val="00DD71C7"/>
    <w:rsid w:val="00DD7410"/>
    <w:rsid w:val="00DE008A"/>
    <w:rsid w:val="00DE29F9"/>
    <w:rsid w:val="00DE57D9"/>
    <w:rsid w:val="00DE6E21"/>
    <w:rsid w:val="00DE7D88"/>
    <w:rsid w:val="00DE7E8C"/>
    <w:rsid w:val="00DF0DE4"/>
    <w:rsid w:val="00DF1CC5"/>
    <w:rsid w:val="00DF4238"/>
    <w:rsid w:val="00DF6026"/>
    <w:rsid w:val="00DF7A2E"/>
    <w:rsid w:val="00E0193E"/>
    <w:rsid w:val="00E0679A"/>
    <w:rsid w:val="00E074D8"/>
    <w:rsid w:val="00E12BCB"/>
    <w:rsid w:val="00E151B6"/>
    <w:rsid w:val="00E15CBE"/>
    <w:rsid w:val="00E23C84"/>
    <w:rsid w:val="00E24DDA"/>
    <w:rsid w:val="00E260E2"/>
    <w:rsid w:val="00E31271"/>
    <w:rsid w:val="00E3128A"/>
    <w:rsid w:val="00E3547D"/>
    <w:rsid w:val="00E36F4D"/>
    <w:rsid w:val="00E40DDC"/>
    <w:rsid w:val="00E42860"/>
    <w:rsid w:val="00E440E9"/>
    <w:rsid w:val="00E4432C"/>
    <w:rsid w:val="00E64455"/>
    <w:rsid w:val="00E66EC1"/>
    <w:rsid w:val="00E715F1"/>
    <w:rsid w:val="00E716C6"/>
    <w:rsid w:val="00E7219B"/>
    <w:rsid w:val="00E7373F"/>
    <w:rsid w:val="00E73835"/>
    <w:rsid w:val="00E73A0D"/>
    <w:rsid w:val="00E7577D"/>
    <w:rsid w:val="00E8144E"/>
    <w:rsid w:val="00E860FF"/>
    <w:rsid w:val="00E927D1"/>
    <w:rsid w:val="00EA03BB"/>
    <w:rsid w:val="00EA47D4"/>
    <w:rsid w:val="00EA65E0"/>
    <w:rsid w:val="00EA6D3A"/>
    <w:rsid w:val="00EA7BA4"/>
    <w:rsid w:val="00EB0BC7"/>
    <w:rsid w:val="00EB286A"/>
    <w:rsid w:val="00EB735B"/>
    <w:rsid w:val="00EC3FF8"/>
    <w:rsid w:val="00EC5BB3"/>
    <w:rsid w:val="00ED20A6"/>
    <w:rsid w:val="00ED462C"/>
    <w:rsid w:val="00ED7A6E"/>
    <w:rsid w:val="00EE4F97"/>
    <w:rsid w:val="00EE5524"/>
    <w:rsid w:val="00EE6D8F"/>
    <w:rsid w:val="00EE742E"/>
    <w:rsid w:val="00EE744C"/>
    <w:rsid w:val="00EF1885"/>
    <w:rsid w:val="00EF3219"/>
    <w:rsid w:val="00EF3599"/>
    <w:rsid w:val="00EF6D5C"/>
    <w:rsid w:val="00F002EC"/>
    <w:rsid w:val="00F00C76"/>
    <w:rsid w:val="00F010AE"/>
    <w:rsid w:val="00F04436"/>
    <w:rsid w:val="00F0512F"/>
    <w:rsid w:val="00F05245"/>
    <w:rsid w:val="00F06763"/>
    <w:rsid w:val="00F11FFC"/>
    <w:rsid w:val="00F131B1"/>
    <w:rsid w:val="00F144B0"/>
    <w:rsid w:val="00F165F8"/>
    <w:rsid w:val="00F21296"/>
    <w:rsid w:val="00F21B92"/>
    <w:rsid w:val="00F226DE"/>
    <w:rsid w:val="00F23C33"/>
    <w:rsid w:val="00F25E6B"/>
    <w:rsid w:val="00F267D1"/>
    <w:rsid w:val="00F32908"/>
    <w:rsid w:val="00F354B0"/>
    <w:rsid w:val="00F4057A"/>
    <w:rsid w:val="00F40D86"/>
    <w:rsid w:val="00F41125"/>
    <w:rsid w:val="00F44034"/>
    <w:rsid w:val="00F44EED"/>
    <w:rsid w:val="00F45543"/>
    <w:rsid w:val="00F46EED"/>
    <w:rsid w:val="00F47C0F"/>
    <w:rsid w:val="00F502F8"/>
    <w:rsid w:val="00F53DB0"/>
    <w:rsid w:val="00F5536B"/>
    <w:rsid w:val="00F55823"/>
    <w:rsid w:val="00F67B98"/>
    <w:rsid w:val="00F70412"/>
    <w:rsid w:val="00F71DC5"/>
    <w:rsid w:val="00F7307D"/>
    <w:rsid w:val="00F74A37"/>
    <w:rsid w:val="00F80543"/>
    <w:rsid w:val="00F82819"/>
    <w:rsid w:val="00F85F0B"/>
    <w:rsid w:val="00F8651C"/>
    <w:rsid w:val="00F87115"/>
    <w:rsid w:val="00F87480"/>
    <w:rsid w:val="00F90413"/>
    <w:rsid w:val="00F95A10"/>
    <w:rsid w:val="00FA01BF"/>
    <w:rsid w:val="00FA1119"/>
    <w:rsid w:val="00FA18FD"/>
    <w:rsid w:val="00FA25EB"/>
    <w:rsid w:val="00FA30DF"/>
    <w:rsid w:val="00FA5110"/>
    <w:rsid w:val="00FB5D5C"/>
    <w:rsid w:val="00FC0BF0"/>
    <w:rsid w:val="00FC37A7"/>
    <w:rsid w:val="00FC4C4B"/>
    <w:rsid w:val="00FC6940"/>
    <w:rsid w:val="00FD7612"/>
    <w:rsid w:val="00FE111C"/>
    <w:rsid w:val="00FE1283"/>
    <w:rsid w:val="00FE231E"/>
    <w:rsid w:val="00FE23AA"/>
    <w:rsid w:val="00FF0F51"/>
    <w:rsid w:val="00FF2964"/>
    <w:rsid w:val="00FF3254"/>
    <w:rsid w:val="00FF418B"/>
    <w:rsid w:val="0AC795A7"/>
    <w:rsid w:val="0E631731"/>
    <w:rsid w:val="0F228880"/>
    <w:rsid w:val="14805BF1"/>
    <w:rsid w:val="2E1E904E"/>
    <w:rsid w:val="34DD26BA"/>
    <w:rsid w:val="533DDDE4"/>
    <w:rsid w:val="6593FDE9"/>
    <w:rsid w:val="743A42D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DA1D9"/>
  <w15:chartTrackingRefBased/>
  <w15:docId w15:val="{21965570-7A79-45C6-A5DC-2F5DAAB24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1703E"/>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11539A"/>
    <w:pPr>
      <w:ind w:left="720"/>
      <w:contextualSpacing/>
    </w:pPr>
  </w:style>
  <w:style w:type="character" w:styleId="Collegamentoipertestuale">
    <w:name w:val="Hyperlink"/>
    <w:uiPriority w:val="99"/>
    <w:rsid w:val="000A23E4"/>
    <w:rPr>
      <w:rFonts w:cs="Times New Roman"/>
      <w:color w:val="0000FF"/>
      <w:u w:val="single"/>
    </w:rPr>
  </w:style>
  <w:style w:type="paragraph" w:customStyle="1" w:styleId="paragraph">
    <w:name w:val="paragraph"/>
    <w:basedOn w:val="Normale"/>
    <w:rsid w:val="00357DDF"/>
    <w:pPr>
      <w:spacing w:before="100" w:beforeAutospacing="1" w:after="100" w:afterAutospacing="1"/>
    </w:pPr>
  </w:style>
  <w:style w:type="character" w:customStyle="1" w:styleId="normaltextrun">
    <w:name w:val="normaltextrun"/>
    <w:rsid w:val="00357DDF"/>
  </w:style>
  <w:style w:type="character" w:customStyle="1" w:styleId="eop">
    <w:name w:val="eop"/>
    <w:rsid w:val="00357DDF"/>
  </w:style>
  <w:style w:type="character" w:customStyle="1" w:styleId="spellingerror">
    <w:name w:val="spellingerror"/>
    <w:rsid w:val="00357DDF"/>
  </w:style>
  <w:style w:type="paragraph" w:styleId="Testofumetto">
    <w:name w:val="Balloon Text"/>
    <w:basedOn w:val="Normale"/>
    <w:link w:val="TestofumettoCarattere"/>
    <w:rsid w:val="000E3FEB"/>
    <w:rPr>
      <w:rFonts w:ascii="Segoe UI" w:hAnsi="Segoe UI" w:cs="Segoe UI"/>
      <w:sz w:val="18"/>
      <w:szCs w:val="18"/>
    </w:rPr>
  </w:style>
  <w:style w:type="character" w:customStyle="1" w:styleId="TestofumettoCarattere">
    <w:name w:val="Testo fumetto Carattere"/>
    <w:link w:val="Testofumetto"/>
    <w:rsid w:val="000E3FEB"/>
    <w:rPr>
      <w:rFonts w:ascii="Segoe UI" w:hAnsi="Segoe UI" w:cs="Segoe UI"/>
      <w:sz w:val="18"/>
      <w:szCs w:val="18"/>
    </w:rPr>
  </w:style>
  <w:style w:type="character" w:styleId="Rimandocommento">
    <w:name w:val="annotation reference"/>
    <w:rsid w:val="00C012F1"/>
    <w:rPr>
      <w:sz w:val="16"/>
      <w:szCs w:val="16"/>
    </w:rPr>
  </w:style>
  <w:style w:type="paragraph" w:styleId="Testocommento">
    <w:name w:val="annotation text"/>
    <w:basedOn w:val="Normale"/>
    <w:link w:val="TestocommentoCarattere"/>
    <w:rsid w:val="00C012F1"/>
    <w:rPr>
      <w:sz w:val="20"/>
      <w:szCs w:val="20"/>
    </w:rPr>
  </w:style>
  <w:style w:type="character" w:customStyle="1" w:styleId="TestocommentoCarattere">
    <w:name w:val="Testo commento Carattere"/>
    <w:basedOn w:val="Carpredefinitoparagrafo"/>
    <w:link w:val="Testocommento"/>
    <w:rsid w:val="00C012F1"/>
  </w:style>
  <w:style w:type="paragraph" w:styleId="Soggettocommento">
    <w:name w:val="annotation subject"/>
    <w:basedOn w:val="Testocommento"/>
    <w:next w:val="Testocommento"/>
    <w:link w:val="SoggettocommentoCarattere"/>
    <w:rsid w:val="00C012F1"/>
    <w:rPr>
      <w:b/>
      <w:bCs/>
    </w:rPr>
  </w:style>
  <w:style w:type="character" w:customStyle="1" w:styleId="SoggettocommentoCarattere">
    <w:name w:val="Soggetto commento Carattere"/>
    <w:link w:val="Soggettocommento"/>
    <w:rsid w:val="00C012F1"/>
    <w:rPr>
      <w:b/>
      <w:bCs/>
    </w:rPr>
  </w:style>
  <w:style w:type="paragraph" w:styleId="Testonotaapidipagina">
    <w:name w:val="footnote text"/>
    <w:basedOn w:val="Normale"/>
    <w:link w:val="TestonotaapidipaginaCarattere"/>
    <w:uiPriority w:val="99"/>
    <w:rsid w:val="0038113E"/>
    <w:pPr>
      <w:widowControl w:val="0"/>
      <w:spacing w:line="192" w:lineRule="auto"/>
      <w:ind w:left="170" w:hanging="170"/>
    </w:pPr>
    <w:rPr>
      <w:rFonts w:ascii="Lucida Sans Unicode" w:hAnsi="Lucida Sans Unicode"/>
      <w:color w:val="000000"/>
      <w:sz w:val="16"/>
      <w:szCs w:val="20"/>
    </w:rPr>
  </w:style>
  <w:style w:type="character" w:customStyle="1" w:styleId="TestonotaapidipaginaCarattere">
    <w:name w:val="Testo nota a piè di pagina Carattere"/>
    <w:link w:val="Testonotaapidipagina"/>
    <w:uiPriority w:val="99"/>
    <w:rsid w:val="0038113E"/>
    <w:rPr>
      <w:rFonts w:ascii="Lucida Sans Unicode" w:hAnsi="Lucida Sans Unicode"/>
      <w:color w:val="000000"/>
      <w:sz w:val="16"/>
    </w:rPr>
  </w:style>
  <w:style w:type="paragraph" w:styleId="NormaleWeb">
    <w:name w:val="Normal (Web)"/>
    <w:basedOn w:val="Normale"/>
    <w:uiPriority w:val="99"/>
    <w:unhideWhenUsed/>
    <w:rsid w:val="0055296B"/>
    <w:pPr>
      <w:spacing w:before="100" w:beforeAutospacing="1" w:after="100" w:afterAutospacing="1"/>
    </w:pPr>
  </w:style>
  <w:style w:type="character" w:styleId="Enfasigrassetto">
    <w:name w:val="Strong"/>
    <w:basedOn w:val="Carpredefinitoparagrafo"/>
    <w:uiPriority w:val="22"/>
    <w:qFormat/>
    <w:rsid w:val="005529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39587">
      <w:bodyDiv w:val="1"/>
      <w:marLeft w:val="0"/>
      <w:marRight w:val="0"/>
      <w:marTop w:val="0"/>
      <w:marBottom w:val="0"/>
      <w:divBdr>
        <w:top w:val="none" w:sz="0" w:space="0" w:color="auto"/>
        <w:left w:val="none" w:sz="0" w:space="0" w:color="auto"/>
        <w:bottom w:val="none" w:sz="0" w:space="0" w:color="auto"/>
        <w:right w:val="none" w:sz="0" w:space="0" w:color="auto"/>
      </w:divBdr>
    </w:div>
    <w:div w:id="167453305">
      <w:bodyDiv w:val="1"/>
      <w:marLeft w:val="0"/>
      <w:marRight w:val="0"/>
      <w:marTop w:val="0"/>
      <w:marBottom w:val="0"/>
      <w:divBdr>
        <w:top w:val="none" w:sz="0" w:space="0" w:color="auto"/>
        <w:left w:val="none" w:sz="0" w:space="0" w:color="auto"/>
        <w:bottom w:val="none" w:sz="0" w:space="0" w:color="auto"/>
        <w:right w:val="none" w:sz="0" w:space="0" w:color="auto"/>
      </w:divBdr>
    </w:div>
    <w:div w:id="212275098">
      <w:bodyDiv w:val="1"/>
      <w:marLeft w:val="0"/>
      <w:marRight w:val="0"/>
      <w:marTop w:val="0"/>
      <w:marBottom w:val="0"/>
      <w:divBdr>
        <w:top w:val="none" w:sz="0" w:space="0" w:color="auto"/>
        <w:left w:val="none" w:sz="0" w:space="0" w:color="auto"/>
        <w:bottom w:val="none" w:sz="0" w:space="0" w:color="auto"/>
        <w:right w:val="none" w:sz="0" w:space="0" w:color="auto"/>
      </w:divBdr>
    </w:div>
    <w:div w:id="227961302">
      <w:bodyDiv w:val="1"/>
      <w:marLeft w:val="0"/>
      <w:marRight w:val="0"/>
      <w:marTop w:val="0"/>
      <w:marBottom w:val="0"/>
      <w:divBdr>
        <w:top w:val="none" w:sz="0" w:space="0" w:color="auto"/>
        <w:left w:val="none" w:sz="0" w:space="0" w:color="auto"/>
        <w:bottom w:val="none" w:sz="0" w:space="0" w:color="auto"/>
        <w:right w:val="none" w:sz="0" w:space="0" w:color="auto"/>
      </w:divBdr>
    </w:div>
    <w:div w:id="808789128">
      <w:bodyDiv w:val="1"/>
      <w:marLeft w:val="0"/>
      <w:marRight w:val="0"/>
      <w:marTop w:val="0"/>
      <w:marBottom w:val="0"/>
      <w:divBdr>
        <w:top w:val="none" w:sz="0" w:space="0" w:color="auto"/>
        <w:left w:val="none" w:sz="0" w:space="0" w:color="auto"/>
        <w:bottom w:val="none" w:sz="0" w:space="0" w:color="auto"/>
        <w:right w:val="none" w:sz="0" w:space="0" w:color="auto"/>
      </w:divBdr>
      <w:divsChild>
        <w:div w:id="2008899750">
          <w:marLeft w:val="0"/>
          <w:marRight w:val="0"/>
          <w:marTop w:val="0"/>
          <w:marBottom w:val="0"/>
          <w:divBdr>
            <w:top w:val="none" w:sz="0" w:space="0" w:color="auto"/>
            <w:left w:val="none" w:sz="0" w:space="0" w:color="auto"/>
            <w:bottom w:val="none" w:sz="0" w:space="0" w:color="auto"/>
            <w:right w:val="none" w:sz="0" w:space="0" w:color="auto"/>
          </w:divBdr>
        </w:div>
        <w:div w:id="1446849496">
          <w:marLeft w:val="0"/>
          <w:marRight w:val="0"/>
          <w:marTop w:val="0"/>
          <w:marBottom w:val="0"/>
          <w:divBdr>
            <w:top w:val="none" w:sz="0" w:space="0" w:color="auto"/>
            <w:left w:val="none" w:sz="0" w:space="0" w:color="auto"/>
            <w:bottom w:val="none" w:sz="0" w:space="0" w:color="auto"/>
            <w:right w:val="none" w:sz="0" w:space="0" w:color="auto"/>
          </w:divBdr>
        </w:div>
        <w:div w:id="455564437">
          <w:marLeft w:val="0"/>
          <w:marRight w:val="0"/>
          <w:marTop w:val="0"/>
          <w:marBottom w:val="0"/>
          <w:divBdr>
            <w:top w:val="none" w:sz="0" w:space="0" w:color="auto"/>
            <w:left w:val="none" w:sz="0" w:space="0" w:color="auto"/>
            <w:bottom w:val="none" w:sz="0" w:space="0" w:color="auto"/>
            <w:right w:val="none" w:sz="0" w:space="0" w:color="auto"/>
          </w:divBdr>
        </w:div>
        <w:div w:id="1758745463">
          <w:marLeft w:val="0"/>
          <w:marRight w:val="0"/>
          <w:marTop w:val="0"/>
          <w:marBottom w:val="0"/>
          <w:divBdr>
            <w:top w:val="none" w:sz="0" w:space="0" w:color="auto"/>
            <w:left w:val="none" w:sz="0" w:space="0" w:color="auto"/>
            <w:bottom w:val="none" w:sz="0" w:space="0" w:color="auto"/>
            <w:right w:val="none" w:sz="0" w:space="0" w:color="auto"/>
          </w:divBdr>
        </w:div>
        <w:div w:id="411658533">
          <w:marLeft w:val="0"/>
          <w:marRight w:val="0"/>
          <w:marTop w:val="0"/>
          <w:marBottom w:val="0"/>
          <w:divBdr>
            <w:top w:val="none" w:sz="0" w:space="0" w:color="auto"/>
            <w:left w:val="none" w:sz="0" w:space="0" w:color="auto"/>
            <w:bottom w:val="none" w:sz="0" w:space="0" w:color="auto"/>
            <w:right w:val="none" w:sz="0" w:space="0" w:color="auto"/>
          </w:divBdr>
        </w:div>
        <w:div w:id="1700162733">
          <w:marLeft w:val="0"/>
          <w:marRight w:val="0"/>
          <w:marTop w:val="0"/>
          <w:marBottom w:val="0"/>
          <w:divBdr>
            <w:top w:val="none" w:sz="0" w:space="0" w:color="auto"/>
            <w:left w:val="none" w:sz="0" w:space="0" w:color="auto"/>
            <w:bottom w:val="none" w:sz="0" w:space="0" w:color="auto"/>
            <w:right w:val="none" w:sz="0" w:space="0" w:color="auto"/>
          </w:divBdr>
        </w:div>
        <w:div w:id="1246036133">
          <w:marLeft w:val="0"/>
          <w:marRight w:val="0"/>
          <w:marTop w:val="0"/>
          <w:marBottom w:val="0"/>
          <w:divBdr>
            <w:top w:val="none" w:sz="0" w:space="0" w:color="auto"/>
            <w:left w:val="none" w:sz="0" w:space="0" w:color="auto"/>
            <w:bottom w:val="none" w:sz="0" w:space="0" w:color="auto"/>
            <w:right w:val="none" w:sz="0" w:space="0" w:color="auto"/>
          </w:divBdr>
        </w:div>
        <w:div w:id="1272397420">
          <w:marLeft w:val="0"/>
          <w:marRight w:val="0"/>
          <w:marTop w:val="0"/>
          <w:marBottom w:val="0"/>
          <w:divBdr>
            <w:top w:val="none" w:sz="0" w:space="0" w:color="auto"/>
            <w:left w:val="none" w:sz="0" w:space="0" w:color="auto"/>
            <w:bottom w:val="none" w:sz="0" w:space="0" w:color="auto"/>
            <w:right w:val="none" w:sz="0" w:space="0" w:color="auto"/>
          </w:divBdr>
        </w:div>
        <w:div w:id="1349063730">
          <w:marLeft w:val="0"/>
          <w:marRight w:val="0"/>
          <w:marTop w:val="0"/>
          <w:marBottom w:val="0"/>
          <w:divBdr>
            <w:top w:val="none" w:sz="0" w:space="0" w:color="auto"/>
            <w:left w:val="none" w:sz="0" w:space="0" w:color="auto"/>
            <w:bottom w:val="none" w:sz="0" w:space="0" w:color="auto"/>
            <w:right w:val="none" w:sz="0" w:space="0" w:color="auto"/>
          </w:divBdr>
        </w:div>
        <w:div w:id="1149709298">
          <w:marLeft w:val="0"/>
          <w:marRight w:val="0"/>
          <w:marTop w:val="0"/>
          <w:marBottom w:val="0"/>
          <w:divBdr>
            <w:top w:val="none" w:sz="0" w:space="0" w:color="auto"/>
            <w:left w:val="none" w:sz="0" w:space="0" w:color="auto"/>
            <w:bottom w:val="none" w:sz="0" w:space="0" w:color="auto"/>
            <w:right w:val="none" w:sz="0" w:space="0" w:color="auto"/>
          </w:divBdr>
        </w:div>
        <w:div w:id="49692020">
          <w:marLeft w:val="0"/>
          <w:marRight w:val="0"/>
          <w:marTop w:val="0"/>
          <w:marBottom w:val="0"/>
          <w:divBdr>
            <w:top w:val="none" w:sz="0" w:space="0" w:color="auto"/>
            <w:left w:val="none" w:sz="0" w:space="0" w:color="auto"/>
            <w:bottom w:val="none" w:sz="0" w:space="0" w:color="auto"/>
            <w:right w:val="none" w:sz="0" w:space="0" w:color="auto"/>
          </w:divBdr>
        </w:div>
        <w:div w:id="684746961">
          <w:marLeft w:val="0"/>
          <w:marRight w:val="0"/>
          <w:marTop w:val="0"/>
          <w:marBottom w:val="0"/>
          <w:divBdr>
            <w:top w:val="none" w:sz="0" w:space="0" w:color="auto"/>
            <w:left w:val="none" w:sz="0" w:space="0" w:color="auto"/>
            <w:bottom w:val="none" w:sz="0" w:space="0" w:color="auto"/>
            <w:right w:val="none" w:sz="0" w:space="0" w:color="auto"/>
          </w:divBdr>
        </w:div>
        <w:div w:id="1294826132">
          <w:marLeft w:val="0"/>
          <w:marRight w:val="0"/>
          <w:marTop w:val="0"/>
          <w:marBottom w:val="0"/>
          <w:divBdr>
            <w:top w:val="none" w:sz="0" w:space="0" w:color="auto"/>
            <w:left w:val="none" w:sz="0" w:space="0" w:color="auto"/>
            <w:bottom w:val="none" w:sz="0" w:space="0" w:color="auto"/>
            <w:right w:val="none" w:sz="0" w:space="0" w:color="auto"/>
          </w:divBdr>
        </w:div>
        <w:div w:id="700321850">
          <w:marLeft w:val="0"/>
          <w:marRight w:val="0"/>
          <w:marTop w:val="0"/>
          <w:marBottom w:val="0"/>
          <w:divBdr>
            <w:top w:val="none" w:sz="0" w:space="0" w:color="auto"/>
            <w:left w:val="none" w:sz="0" w:space="0" w:color="auto"/>
            <w:bottom w:val="none" w:sz="0" w:space="0" w:color="auto"/>
            <w:right w:val="none" w:sz="0" w:space="0" w:color="auto"/>
          </w:divBdr>
        </w:div>
        <w:div w:id="97336622">
          <w:marLeft w:val="0"/>
          <w:marRight w:val="0"/>
          <w:marTop w:val="0"/>
          <w:marBottom w:val="0"/>
          <w:divBdr>
            <w:top w:val="none" w:sz="0" w:space="0" w:color="auto"/>
            <w:left w:val="none" w:sz="0" w:space="0" w:color="auto"/>
            <w:bottom w:val="none" w:sz="0" w:space="0" w:color="auto"/>
            <w:right w:val="none" w:sz="0" w:space="0" w:color="auto"/>
          </w:divBdr>
        </w:div>
        <w:div w:id="983584890">
          <w:marLeft w:val="0"/>
          <w:marRight w:val="0"/>
          <w:marTop w:val="0"/>
          <w:marBottom w:val="0"/>
          <w:divBdr>
            <w:top w:val="none" w:sz="0" w:space="0" w:color="auto"/>
            <w:left w:val="none" w:sz="0" w:space="0" w:color="auto"/>
            <w:bottom w:val="none" w:sz="0" w:space="0" w:color="auto"/>
            <w:right w:val="none" w:sz="0" w:space="0" w:color="auto"/>
          </w:divBdr>
        </w:div>
        <w:div w:id="2034072859">
          <w:marLeft w:val="0"/>
          <w:marRight w:val="0"/>
          <w:marTop w:val="0"/>
          <w:marBottom w:val="0"/>
          <w:divBdr>
            <w:top w:val="none" w:sz="0" w:space="0" w:color="auto"/>
            <w:left w:val="none" w:sz="0" w:space="0" w:color="auto"/>
            <w:bottom w:val="none" w:sz="0" w:space="0" w:color="auto"/>
            <w:right w:val="none" w:sz="0" w:space="0" w:color="auto"/>
          </w:divBdr>
        </w:div>
        <w:div w:id="274606376">
          <w:marLeft w:val="0"/>
          <w:marRight w:val="0"/>
          <w:marTop w:val="0"/>
          <w:marBottom w:val="0"/>
          <w:divBdr>
            <w:top w:val="none" w:sz="0" w:space="0" w:color="auto"/>
            <w:left w:val="none" w:sz="0" w:space="0" w:color="auto"/>
            <w:bottom w:val="none" w:sz="0" w:space="0" w:color="auto"/>
            <w:right w:val="none" w:sz="0" w:space="0" w:color="auto"/>
          </w:divBdr>
        </w:div>
        <w:div w:id="95947718">
          <w:marLeft w:val="0"/>
          <w:marRight w:val="0"/>
          <w:marTop w:val="0"/>
          <w:marBottom w:val="0"/>
          <w:divBdr>
            <w:top w:val="none" w:sz="0" w:space="0" w:color="auto"/>
            <w:left w:val="none" w:sz="0" w:space="0" w:color="auto"/>
            <w:bottom w:val="none" w:sz="0" w:space="0" w:color="auto"/>
            <w:right w:val="none" w:sz="0" w:space="0" w:color="auto"/>
          </w:divBdr>
        </w:div>
        <w:div w:id="861939015">
          <w:marLeft w:val="0"/>
          <w:marRight w:val="0"/>
          <w:marTop w:val="0"/>
          <w:marBottom w:val="0"/>
          <w:divBdr>
            <w:top w:val="none" w:sz="0" w:space="0" w:color="auto"/>
            <w:left w:val="none" w:sz="0" w:space="0" w:color="auto"/>
            <w:bottom w:val="none" w:sz="0" w:space="0" w:color="auto"/>
            <w:right w:val="none" w:sz="0" w:space="0" w:color="auto"/>
          </w:divBdr>
        </w:div>
        <w:div w:id="568004291">
          <w:marLeft w:val="0"/>
          <w:marRight w:val="0"/>
          <w:marTop w:val="0"/>
          <w:marBottom w:val="0"/>
          <w:divBdr>
            <w:top w:val="none" w:sz="0" w:space="0" w:color="auto"/>
            <w:left w:val="none" w:sz="0" w:space="0" w:color="auto"/>
            <w:bottom w:val="none" w:sz="0" w:space="0" w:color="auto"/>
            <w:right w:val="none" w:sz="0" w:space="0" w:color="auto"/>
          </w:divBdr>
          <w:divsChild>
            <w:div w:id="1474249084">
              <w:marLeft w:val="0"/>
              <w:marRight w:val="0"/>
              <w:marTop w:val="0"/>
              <w:marBottom w:val="0"/>
              <w:divBdr>
                <w:top w:val="none" w:sz="0" w:space="0" w:color="auto"/>
                <w:left w:val="none" w:sz="0" w:space="0" w:color="auto"/>
                <w:bottom w:val="none" w:sz="0" w:space="0" w:color="auto"/>
                <w:right w:val="none" w:sz="0" w:space="0" w:color="auto"/>
              </w:divBdr>
            </w:div>
            <w:div w:id="1090665040">
              <w:marLeft w:val="0"/>
              <w:marRight w:val="0"/>
              <w:marTop w:val="0"/>
              <w:marBottom w:val="0"/>
              <w:divBdr>
                <w:top w:val="none" w:sz="0" w:space="0" w:color="auto"/>
                <w:left w:val="none" w:sz="0" w:space="0" w:color="auto"/>
                <w:bottom w:val="none" w:sz="0" w:space="0" w:color="auto"/>
                <w:right w:val="none" w:sz="0" w:space="0" w:color="auto"/>
              </w:divBdr>
            </w:div>
          </w:divsChild>
        </w:div>
        <w:div w:id="144125552">
          <w:marLeft w:val="0"/>
          <w:marRight w:val="0"/>
          <w:marTop w:val="0"/>
          <w:marBottom w:val="0"/>
          <w:divBdr>
            <w:top w:val="none" w:sz="0" w:space="0" w:color="auto"/>
            <w:left w:val="none" w:sz="0" w:space="0" w:color="auto"/>
            <w:bottom w:val="none" w:sz="0" w:space="0" w:color="auto"/>
            <w:right w:val="none" w:sz="0" w:space="0" w:color="auto"/>
          </w:divBdr>
          <w:divsChild>
            <w:div w:id="1821843503">
              <w:marLeft w:val="0"/>
              <w:marRight w:val="0"/>
              <w:marTop w:val="0"/>
              <w:marBottom w:val="0"/>
              <w:divBdr>
                <w:top w:val="none" w:sz="0" w:space="0" w:color="auto"/>
                <w:left w:val="none" w:sz="0" w:space="0" w:color="auto"/>
                <w:bottom w:val="none" w:sz="0" w:space="0" w:color="auto"/>
                <w:right w:val="none" w:sz="0" w:space="0" w:color="auto"/>
              </w:divBdr>
            </w:div>
            <w:div w:id="966858300">
              <w:marLeft w:val="0"/>
              <w:marRight w:val="0"/>
              <w:marTop w:val="0"/>
              <w:marBottom w:val="0"/>
              <w:divBdr>
                <w:top w:val="none" w:sz="0" w:space="0" w:color="auto"/>
                <w:left w:val="none" w:sz="0" w:space="0" w:color="auto"/>
                <w:bottom w:val="none" w:sz="0" w:space="0" w:color="auto"/>
                <w:right w:val="none" w:sz="0" w:space="0" w:color="auto"/>
              </w:divBdr>
            </w:div>
          </w:divsChild>
        </w:div>
        <w:div w:id="445931002">
          <w:marLeft w:val="0"/>
          <w:marRight w:val="0"/>
          <w:marTop w:val="0"/>
          <w:marBottom w:val="0"/>
          <w:divBdr>
            <w:top w:val="none" w:sz="0" w:space="0" w:color="auto"/>
            <w:left w:val="none" w:sz="0" w:space="0" w:color="auto"/>
            <w:bottom w:val="none" w:sz="0" w:space="0" w:color="auto"/>
            <w:right w:val="none" w:sz="0" w:space="0" w:color="auto"/>
          </w:divBdr>
        </w:div>
        <w:div w:id="1969816262">
          <w:marLeft w:val="0"/>
          <w:marRight w:val="0"/>
          <w:marTop w:val="0"/>
          <w:marBottom w:val="0"/>
          <w:divBdr>
            <w:top w:val="none" w:sz="0" w:space="0" w:color="auto"/>
            <w:left w:val="none" w:sz="0" w:space="0" w:color="auto"/>
            <w:bottom w:val="none" w:sz="0" w:space="0" w:color="auto"/>
            <w:right w:val="none" w:sz="0" w:space="0" w:color="auto"/>
          </w:divBdr>
        </w:div>
        <w:div w:id="2025553028">
          <w:marLeft w:val="0"/>
          <w:marRight w:val="0"/>
          <w:marTop w:val="0"/>
          <w:marBottom w:val="0"/>
          <w:divBdr>
            <w:top w:val="none" w:sz="0" w:space="0" w:color="auto"/>
            <w:left w:val="none" w:sz="0" w:space="0" w:color="auto"/>
            <w:bottom w:val="none" w:sz="0" w:space="0" w:color="auto"/>
            <w:right w:val="none" w:sz="0" w:space="0" w:color="auto"/>
          </w:divBdr>
        </w:div>
        <w:div w:id="278997642">
          <w:marLeft w:val="0"/>
          <w:marRight w:val="0"/>
          <w:marTop w:val="0"/>
          <w:marBottom w:val="0"/>
          <w:divBdr>
            <w:top w:val="none" w:sz="0" w:space="0" w:color="auto"/>
            <w:left w:val="none" w:sz="0" w:space="0" w:color="auto"/>
            <w:bottom w:val="none" w:sz="0" w:space="0" w:color="auto"/>
            <w:right w:val="none" w:sz="0" w:space="0" w:color="auto"/>
          </w:divBdr>
        </w:div>
        <w:div w:id="252474594">
          <w:marLeft w:val="0"/>
          <w:marRight w:val="0"/>
          <w:marTop w:val="0"/>
          <w:marBottom w:val="0"/>
          <w:divBdr>
            <w:top w:val="none" w:sz="0" w:space="0" w:color="auto"/>
            <w:left w:val="none" w:sz="0" w:space="0" w:color="auto"/>
            <w:bottom w:val="none" w:sz="0" w:space="0" w:color="auto"/>
            <w:right w:val="none" w:sz="0" w:space="0" w:color="auto"/>
          </w:divBdr>
        </w:div>
        <w:div w:id="995837782">
          <w:marLeft w:val="0"/>
          <w:marRight w:val="0"/>
          <w:marTop w:val="0"/>
          <w:marBottom w:val="0"/>
          <w:divBdr>
            <w:top w:val="none" w:sz="0" w:space="0" w:color="auto"/>
            <w:left w:val="none" w:sz="0" w:space="0" w:color="auto"/>
            <w:bottom w:val="none" w:sz="0" w:space="0" w:color="auto"/>
            <w:right w:val="none" w:sz="0" w:space="0" w:color="auto"/>
          </w:divBdr>
        </w:div>
        <w:div w:id="1334334925">
          <w:marLeft w:val="0"/>
          <w:marRight w:val="0"/>
          <w:marTop w:val="0"/>
          <w:marBottom w:val="0"/>
          <w:divBdr>
            <w:top w:val="none" w:sz="0" w:space="0" w:color="auto"/>
            <w:left w:val="none" w:sz="0" w:space="0" w:color="auto"/>
            <w:bottom w:val="none" w:sz="0" w:space="0" w:color="auto"/>
            <w:right w:val="none" w:sz="0" w:space="0" w:color="auto"/>
          </w:divBdr>
        </w:div>
        <w:div w:id="944384389">
          <w:marLeft w:val="0"/>
          <w:marRight w:val="0"/>
          <w:marTop w:val="0"/>
          <w:marBottom w:val="0"/>
          <w:divBdr>
            <w:top w:val="none" w:sz="0" w:space="0" w:color="auto"/>
            <w:left w:val="none" w:sz="0" w:space="0" w:color="auto"/>
            <w:bottom w:val="none" w:sz="0" w:space="0" w:color="auto"/>
            <w:right w:val="none" w:sz="0" w:space="0" w:color="auto"/>
          </w:divBdr>
        </w:div>
        <w:div w:id="1663270799">
          <w:marLeft w:val="0"/>
          <w:marRight w:val="0"/>
          <w:marTop w:val="0"/>
          <w:marBottom w:val="0"/>
          <w:divBdr>
            <w:top w:val="none" w:sz="0" w:space="0" w:color="auto"/>
            <w:left w:val="none" w:sz="0" w:space="0" w:color="auto"/>
            <w:bottom w:val="none" w:sz="0" w:space="0" w:color="auto"/>
            <w:right w:val="none" w:sz="0" w:space="0" w:color="auto"/>
          </w:divBdr>
        </w:div>
        <w:div w:id="1297486031">
          <w:marLeft w:val="0"/>
          <w:marRight w:val="0"/>
          <w:marTop w:val="0"/>
          <w:marBottom w:val="0"/>
          <w:divBdr>
            <w:top w:val="none" w:sz="0" w:space="0" w:color="auto"/>
            <w:left w:val="none" w:sz="0" w:space="0" w:color="auto"/>
            <w:bottom w:val="none" w:sz="0" w:space="0" w:color="auto"/>
            <w:right w:val="none" w:sz="0" w:space="0" w:color="auto"/>
          </w:divBdr>
        </w:div>
        <w:div w:id="1687512857">
          <w:marLeft w:val="0"/>
          <w:marRight w:val="0"/>
          <w:marTop w:val="0"/>
          <w:marBottom w:val="0"/>
          <w:divBdr>
            <w:top w:val="none" w:sz="0" w:space="0" w:color="auto"/>
            <w:left w:val="none" w:sz="0" w:space="0" w:color="auto"/>
            <w:bottom w:val="none" w:sz="0" w:space="0" w:color="auto"/>
            <w:right w:val="none" w:sz="0" w:space="0" w:color="auto"/>
          </w:divBdr>
        </w:div>
        <w:div w:id="1269124909">
          <w:marLeft w:val="0"/>
          <w:marRight w:val="0"/>
          <w:marTop w:val="0"/>
          <w:marBottom w:val="0"/>
          <w:divBdr>
            <w:top w:val="none" w:sz="0" w:space="0" w:color="auto"/>
            <w:left w:val="none" w:sz="0" w:space="0" w:color="auto"/>
            <w:bottom w:val="none" w:sz="0" w:space="0" w:color="auto"/>
            <w:right w:val="none" w:sz="0" w:space="0" w:color="auto"/>
          </w:divBdr>
        </w:div>
        <w:div w:id="266543589">
          <w:marLeft w:val="0"/>
          <w:marRight w:val="0"/>
          <w:marTop w:val="0"/>
          <w:marBottom w:val="0"/>
          <w:divBdr>
            <w:top w:val="none" w:sz="0" w:space="0" w:color="auto"/>
            <w:left w:val="none" w:sz="0" w:space="0" w:color="auto"/>
            <w:bottom w:val="none" w:sz="0" w:space="0" w:color="auto"/>
            <w:right w:val="none" w:sz="0" w:space="0" w:color="auto"/>
          </w:divBdr>
        </w:div>
        <w:div w:id="1593273925">
          <w:marLeft w:val="0"/>
          <w:marRight w:val="0"/>
          <w:marTop w:val="0"/>
          <w:marBottom w:val="0"/>
          <w:divBdr>
            <w:top w:val="none" w:sz="0" w:space="0" w:color="auto"/>
            <w:left w:val="none" w:sz="0" w:space="0" w:color="auto"/>
            <w:bottom w:val="none" w:sz="0" w:space="0" w:color="auto"/>
            <w:right w:val="none" w:sz="0" w:space="0" w:color="auto"/>
          </w:divBdr>
        </w:div>
        <w:div w:id="59405962">
          <w:marLeft w:val="0"/>
          <w:marRight w:val="0"/>
          <w:marTop w:val="0"/>
          <w:marBottom w:val="0"/>
          <w:divBdr>
            <w:top w:val="none" w:sz="0" w:space="0" w:color="auto"/>
            <w:left w:val="none" w:sz="0" w:space="0" w:color="auto"/>
            <w:bottom w:val="none" w:sz="0" w:space="0" w:color="auto"/>
            <w:right w:val="none" w:sz="0" w:space="0" w:color="auto"/>
          </w:divBdr>
        </w:div>
        <w:div w:id="1137142011">
          <w:marLeft w:val="0"/>
          <w:marRight w:val="0"/>
          <w:marTop w:val="0"/>
          <w:marBottom w:val="0"/>
          <w:divBdr>
            <w:top w:val="none" w:sz="0" w:space="0" w:color="auto"/>
            <w:left w:val="none" w:sz="0" w:space="0" w:color="auto"/>
            <w:bottom w:val="none" w:sz="0" w:space="0" w:color="auto"/>
            <w:right w:val="none" w:sz="0" w:space="0" w:color="auto"/>
          </w:divBdr>
        </w:div>
        <w:div w:id="521557197">
          <w:marLeft w:val="0"/>
          <w:marRight w:val="0"/>
          <w:marTop w:val="0"/>
          <w:marBottom w:val="0"/>
          <w:divBdr>
            <w:top w:val="none" w:sz="0" w:space="0" w:color="auto"/>
            <w:left w:val="none" w:sz="0" w:space="0" w:color="auto"/>
            <w:bottom w:val="none" w:sz="0" w:space="0" w:color="auto"/>
            <w:right w:val="none" w:sz="0" w:space="0" w:color="auto"/>
          </w:divBdr>
        </w:div>
        <w:div w:id="1727795196">
          <w:marLeft w:val="0"/>
          <w:marRight w:val="0"/>
          <w:marTop w:val="0"/>
          <w:marBottom w:val="0"/>
          <w:divBdr>
            <w:top w:val="none" w:sz="0" w:space="0" w:color="auto"/>
            <w:left w:val="none" w:sz="0" w:space="0" w:color="auto"/>
            <w:bottom w:val="none" w:sz="0" w:space="0" w:color="auto"/>
            <w:right w:val="none" w:sz="0" w:space="0" w:color="auto"/>
          </w:divBdr>
        </w:div>
        <w:div w:id="1308633585">
          <w:marLeft w:val="0"/>
          <w:marRight w:val="0"/>
          <w:marTop w:val="0"/>
          <w:marBottom w:val="0"/>
          <w:divBdr>
            <w:top w:val="none" w:sz="0" w:space="0" w:color="auto"/>
            <w:left w:val="none" w:sz="0" w:space="0" w:color="auto"/>
            <w:bottom w:val="none" w:sz="0" w:space="0" w:color="auto"/>
            <w:right w:val="none" w:sz="0" w:space="0" w:color="auto"/>
          </w:divBdr>
        </w:div>
        <w:div w:id="380789644">
          <w:marLeft w:val="0"/>
          <w:marRight w:val="0"/>
          <w:marTop w:val="0"/>
          <w:marBottom w:val="0"/>
          <w:divBdr>
            <w:top w:val="none" w:sz="0" w:space="0" w:color="auto"/>
            <w:left w:val="none" w:sz="0" w:space="0" w:color="auto"/>
            <w:bottom w:val="none" w:sz="0" w:space="0" w:color="auto"/>
            <w:right w:val="none" w:sz="0" w:space="0" w:color="auto"/>
          </w:divBdr>
        </w:div>
        <w:div w:id="670527223">
          <w:marLeft w:val="0"/>
          <w:marRight w:val="0"/>
          <w:marTop w:val="0"/>
          <w:marBottom w:val="0"/>
          <w:divBdr>
            <w:top w:val="none" w:sz="0" w:space="0" w:color="auto"/>
            <w:left w:val="none" w:sz="0" w:space="0" w:color="auto"/>
            <w:bottom w:val="none" w:sz="0" w:space="0" w:color="auto"/>
            <w:right w:val="none" w:sz="0" w:space="0" w:color="auto"/>
          </w:divBdr>
        </w:div>
        <w:div w:id="555437179">
          <w:marLeft w:val="0"/>
          <w:marRight w:val="0"/>
          <w:marTop w:val="0"/>
          <w:marBottom w:val="0"/>
          <w:divBdr>
            <w:top w:val="none" w:sz="0" w:space="0" w:color="auto"/>
            <w:left w:val="none" w:sz="0" w:space="0" w:color="auto"/>
            <w:bottom w:val="none" w:sz="0" w:space="0" w:color="auto"/>
            <w:right w:val="none" w:sz="0" w:space="0" w:color="auto"/>
          </w:divBdr>
        </w:div>
        <w:div w:id="404651046">
          <w:marLeft w:val="0"/>
          <w:marRight w:val="0"/>
          <w:marTop w:val="0"/>
          <w:marBottom w:val="0"/>
          <w:divBdr>
            <w:top w:val="none" w:sz="0" w:space="0" w:color="auto"/>
            <w:left w:val="none" w:sz="0" w:space="0" w:color="auto"/>
            <w:bottom w:val="none" w:sz="0" w:space="0" w:color="auto"/>
            <w:right w:val="none" w:sz="0" w:space="0" w:color="auto"/>
          </w:divBdr>
        </w:div>
        <w:div w:id="1914705322">
          <w:marLeft w:val="0"/>
          <w:marRight w:val="0"/>
          <w:marTop w:val="0"/>
          <w:marBottom w:val="0"/>
          <w:divBdr>
            <w:top w:val="none" w:sz="0" w:space="0" w:color="auto"/>
            <w:left w:val="none" w:sz="0" w:space="0" w:color="auto"/>
            <w:bottom w:val="none" w:sz="0" w:space="0" w:color="auto"/>
            <w:right w:val="none" w:sz="0" w:space="0" w:color="auto"/>
          </w:divBdr>
        </w:div>
        <w:div w:id="851455781">
          <w:marLeft w:val="0"/>
          <w:marRight w:val="0"/>
          <w:marTop w:val="0"/>
          <w:marBottom w:val="0"/>
          <w:divBdr>
            <w:top w:val="none" w:sz="0" w:space="0" w:color="auto"/>
            <w:left w:val="none" w:sz="0" w:space="0" w:color="auto"/>
            <w:bottom w:val="none" w:sz="0" w:space="0" w:color="auto"/>
            <w:right w:val="none" w:sz="0" w:space="0" w:color="auto"/>
          </w:divBdr>
        </w:div>
        <w:div w:id="1277370688">
          <w:marLeft w:val="0"/>
          <w:marRight w:val="0"/>
          <w:marTop w:val="0"/>
          <w:marBottom w:val="0"/>
          <w:divBdr>
            <w:top w:val="none" w:sz="0" w:space="0" w:color="auto"/>
            <w:left w:val="none" w:sz="0" w:space="0" w:color="auto"/>
            <w:bottom w:val="none" w:sz="0" w:space="0" w:color="auto"/>
            <w:right w:val="none" w:sz="0" w:space="0" w:color="auto"/>
          </w:divBdr>
          <w:divsChild>
            <w:div w:id="920798460">
              <w:marLeft w:val="0"/>
              <w:marRight w:val="0"/>
              <w:marTop w:val="0"/>
              <w:marBottom w:val="0"/>
              <w:divBdr>
                <w:top w:val="none" w:sz="0" w:space="0" w:color="auto"/>
                <w:left w:val="none" w:sz="0" w:space="0" w:color="auto"/>
                <w:bottom w:val="none" w:sz="0" w:space="0" w:color="auto"/>
                <w:right w:val="none" w:sz="0" w:space="0" w:color="auto"/>
              </w:divBdr>
            </w:div>
            <w:div w:id="626401073">
              <w:marLeft w:val="0"/>
              <w:marRight w:val="0"/>
              <w:marTop w:val="0"/>
              <w:marBottom w:val="0"/>
              <w:divBdr>
                <w:top w:val="none" w:sz="0" w:space="0" w:color="auto"/>
                <w:left w:val="none" w:sz="0" w:space="0" w:color="auto"/>
                <w:bottom w:val="none" w:sz="0" w:space="0" w:color="auto"/>
                <w:right w:val="none" w:sz="0" w:space="0" w:color="auto"/>
              </w:divBdr>
            </w:div>
            <w:div w:id="879393385">
              <w:marLeft w:val="0"/>
              <w:marRight w:val="0"/>
              <w:marTop w:val="0"/>
              <w:marBottom w:val="0"/>
              <w:divBdr>
                <w:top w:val="none" w:sz="0" w:space="0" w:color="auto"/>
                <w:left w:val="none" w:sz="0" w:space="0" w:color="auto"/>
                <w:bottom w:val="none" w:sz="0" w:space="0" w:color="auto"/>
                <w:right w:val="none" w:sz="0" w:space="0" w:color="auto"/>
              </w:divBdr>
            </w:div>
          </w:divsChild>
        </w:div>
        <w:div w:id="1488667085">
          <w:marLeft w:val="0"/>
          <w:marRight w:val="0"/>
          <w:marTop w:val="0"/>
          <w:marBottom w:val="0"/>
          <w:divBdr>
            <w:top w:val="none" w:sz="0" w:space="0" w:color="auto"/>
            <w:left w:val="none" w:sz="0" w:space="0" w:color="auto"/>
            <w:bottom w:val="none" w:sz="0" w:space="0" w:color="auto"/>
            <w:right w:val="none" w:sz="0" w:space="0" w:color="auto"/>
          </w:divBdr>
          <w:divsChild>
            <w:div w:id="554587775">
              <w:marLeft w:val="0"/>
              <w:marRight w:val="0"/>
              <w:marTop w:val="0"/>
              <w:marBottom w:val="0"/>
              <w:divBdr>
                <w:top w:val="none" w:sz="0" w:space="0" w:color="auto"/>
                <w:left w:val="none" w:sz="0" w:space="0" w:color="auto"/>
                <w:bottom w:val="none" w:sz="0" w:space="0" w:color="auto"/>
                <w:right w:val="none" w:sz="0" w:space="0" w:color="auto"/>
              </w:divBdr>
            </w:div>
            <w:div w:id="1099637998">
              <w:marLeft w:val="0"/>
              <w:marRight w:val="0"/>
              <w:marTop w:val="0"/>
              <w:marBottom w:val="0"/>
              <w:divBdr>
                <w:top w:val="none" w:sz="0" w:space="0" w:color="auto"/>
                <w:left w:val="none" w:sz="0" w:space="0" w:color="auto"/>
                <w:bottom w:val="none" w:sz="0" w:space="0" w:color="auto"/>
                <w:right w:val="none" w:sz="0" w:space="0" w:color="auto"/>
              </w:divBdr>
            </w:div>
            <w:div w:id="1199395284">
              <w:marLeft w:val="0"/>
              <w:marRight w:val="0"/>
              <w:marTop w:val="0"/>
              <w:marBottom w:val="0"/>
              <w:divBdr>
                <w:top w:val="none" w:sz="0" w:space="0" w:color="auto"/>
                <w:left w:val="none" w:sz="0" w:space="0" w:color="auto"/>
                <w:bottom w:val="none" w:sz="0" w:space="0" w:color="auto"/>
                <w:right w:val="none" w:sz="0" w:space="0" w:color="auto"/>
              </w:divBdr>
            </w:div>
          </w:divsChild>
        </w:div>
        <w:div w:id="1778057961">
          <w:marLeft w:val="0"/>
          <w:marRight w:val="0"/>
          <w:marTop w:val="0"/>
          <w:marBottom w:val="0"/>
          <w:divBdr>
            <w:top w:val="none" w:sz="0" w:space="0" w:color="auto"/>
            <w:left w:val="none" w:sz="0" w:space="0" w:color="auto"/>
            <w:bottom w:val="none" w:sz="0" w:space="0" w:color="auto"/>
            <w:right w:val="none" w:sz="0" w:space="0" w:color="auto"/>
          </w:divBdr>
        </w:div>
        <w:div w:id="801536704">
          <w:marLeft w:val="0"/>
          <w:marRight w:val="0"/>
          <w:marTop w:val="0"/>
          <w:marBottom w:val="0"/>
          <w:divBdr>
            <w:top w:val="none" w:sz="0" w:space="0" w:color="auto"/>
            <w:left w:val="none" w:sz="0" w:space="0" w:color="auto"/>
            <w:bottom w:val="none" w:sz="0" w:space="0" w:color="auto"/>
            <w:right w:val="none" w:sz="0" w:space="0" w:color="auto"/>
          </w:divBdr>
        </w:div>
        <w:div w:id="1283725503">
          <w:marLeft w:val="0"/>
          <w:marRight w:val="0"/>
          <w:marTop w:val="0"/>
          <w:marBottom w:val="0"/>
          <w:divBdr>
            <w:top w:val="none" w:sz="0" w:space="0" w:color="auto"/>
            <w:left w:val="none" w:sz="0" w:space="0" w:color="auto"/>
            <w:bottom w:val="none" w:sz="0" w:space="0" w:color="auto"/>
            <w:right w:val="none" w:sz="0" w:space="0" w:color="auto"/>
          </w:divBdr>
        </w:div>
        <w:div w:id="1905604929">
          <w:marLeft w:val="0"/>
          <w:marRight w:val="0"/>
          <w:marTop w:val="0"/>
          <w:marBottom w:val="0"/>
          <w:divBdr>
            <w:top w:val="none" w:sz="0" w:space="0" w:color="auto"/>
            <w:left w:val="none" w:sz="0" w:space="0" w:color="auto"/>
            <w:bottom w:val="none" w:sz="0" w:space="0" w:color="auto"/>
            <w:right w:val="none" w:sz="0" w:space="0" w:color="auto"/>
          </w:divBdr>
        </w:div>
        <w:div w:id="57478376">
          <w:marLeft w:val="0"/>
          <w:marRight w:val="0"/>
          <w:marTop w:val="0"/>
          <w:marBottom w:val="0"/>
          <w:divBdr>
            <w:top w:val="none" w:sz="0" w:space="0" w:color="auto"/>
            <w:left w:val="none" w:sz="0" w:space="0" w:color="auto"/>
            <w:bottom w:val="none" w:sz="0" w:space="0" w:color="auto"/>
            <w:right w:val="none" w:sz="0" w:space="0" w:color="auto"/>
          </w:divBdr>
        </w:div>
      </w:divsChild>
    </w:div>
    <w:div w:id="901603921">
      <w:bodyDiv w:val="1"/>
      <w:marLeft w:val="0"/>
      <w:marRight w:val="0"/>
      <w:marTop w:val="0"/>
      <w:marBottom w:val="0"/>
      <w:divBdr>
        <w:top w:val="none" w:sz="0" w:space="0" w:color="auto"/>
        <w:left w:val="none" w:sz="0" w:space="0" w:color="auto"/>
        <w:bottom w:val="none" w:sz="0" w:space="0" w:color="auto"/>
        <w:right w:val="none" w:sz="0" w:space="0" w:color="auto"/>
      </w:divBdr>
    </w:div>
    <w:div w:id="1010912387">
      <w:bodyDiv w:val="1"/>
      <w:marLeft w:val="0"/>
      <w:marRight w:val="0"/>
      <w:marTop w:val="0"/>
      <w:marBottom w:val="0"/>
      <w:divBdr>
        <w:top w:val="none" w:sz="0" w:space="0" w:color="auto"/>
        <w:left w:val="none" w:sz="0" w:space="0" w:color="auto"/>
        <w:bottom w:val="none" w:sz="0" w:space="0" w:color="auto"/>
        <w:right w:val="none" w:sz="0" w:space="0" w:color="auto"/>
      </w:divBdr>
    </w:div>
    <w:div w:id="1152328631">
      <w:bodyDiv w:val="1"/>
      <w:marLeft w:val="0"/>
      <w:marRight w:val="0"/>
      <w:marTop w:val="0"/>
      <w:marBottom w:val="0"/>
      <w:divBdr>
        <w:top w:val="none" w:sz="0" w:space="0" w:color="auto"/>
        <w:left w:val="none" w:sz="0" w:space="0" w:color="auto"/>
        <w:bottom w:val="none" w:sz="0" w:space="0" w:color="auto"/>
        <w:right w:val="none" w:sz="0" w:space="0" w:color="auto"/>
      </w:divBdr>
    </w:div>
    <w:div w:id="1330669780">
      <w:bodyDiv w:val="1"/>
      <w:marLeft w:val="0"/>
      <w:marRight w:val="0"/>
      <w:marTop w:val="0"/>
      <w:marBottom w:val="0"/>
      <w:divBdr>
        <w:top w:val="none" w:sz="0" w:space="0" w:color="auto"/>
        <w:left w:val="none" w:sz="0" w:space="0" w:color="auto"/>
        <w:bottom w:val="none" w:sz="0" w:space="0" w:color="auto"/>
        <w:right w:val="none" w:sz="0" w:space="0" w:color="auto"/>
      </w:divBdr>
    </w:div>
    <w:div w:id="1417435325">
      <w:bodyDiv w:val="1"/>
      <w:marLeft w:val="0"/>
      <w:marRight w:val="0"/>
      <w:marTop w:val="0"/>
      <w:marBottom w:val="0"/>
      <w:divBdr>
        <w:top w:val="none" w:sz="0" w:space="0" w:color="auto"/>
        <w:left w:val="none" w:sz="0" w:space="0" w:color="auto"/>
        <w:bottom w:val="none" w:sz="0" w:space="0" w:color="auto"/>
        <w:right w:val="none" w:sz="0" w:space="0" w:color="auto"/>
      </w:divBdr>
    </w:div>
    <w:div w:id="164268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EB607635E32884981E7CFEF9762D8A5" ma:contentTypeVersion="2" ma:contentTypeDescription="Creare un nuovo documento." ma:contentTypeScope="" ma:versionID="6f74afe7c80ff673294aae4b733c1b76">
  <xsd:schema xmlns:xsd="http://www.w3.org/2001/XMLSchema" xmlns:xs="http://www.w3.org/2001/XMLSchema" xmlns:p="http://schemas.microsoft.com/office/2006/metadata/properties" xmlns:ns2="5ed92815-08a0-4271-8905-4ce18a838051" targetNamespace="http://schemas.microsoft.com/office/2006/metadata/properties" ma:root="true" ma:fieldsID="1d201a64b0984644715fe876cb95d0c2" ns2:_="">
    <xsd:import namespace="5ed92815-08a0-4271-8905-4ce18a83805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d92815-08a0-4271-8905-4ce18a838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3903E3-57A3-4B51-BD54-29A628684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d92815-08a0-4271-8905-4ce18a8380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81F782-1A93-4E7F-B2E4-F9D527B3348A}">
  <ds:schemaRefs>
    <ds:schemaRef ds:uri="http://schemas.microsoft.com/sharepoint/v3/contenttype/forms"/>
  </ds:schemaRefs>
</ds:datastoreItem>
</file>

<file path=customXml/itemProps3.xml><?xml version="1.0" encoding="utf-8"?>
<ds:datastoreItem xmlns:ds="http://schemas.openxmlformats.org/officeDocument/2006/customXml" ds:itemID="{D9DE189F-10BB-49DD-8ECC-6A6E93368CFA}">
  <ds:schemaRefs>
    <ds:schemaRef ds:uri="http://schemas.openxmlformats.org/officeDocument/2006/bibliography"/>
  </ds:schemaRefs>
</ds:datastoreItem>
</file>

<file path=customXml/itemProps4.xml><?xml version="1.0" encoding="utf-8"?>
<ds:datastoreItem xmlns:ds="http://schemas.openxmlformats.org/officeDocument/2006/customXml" ds:itemID="{7E91699C-A9ED-4FCB-AEF1-91D742B1B9A2}">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5ed92815-08a0-4271-8905-4ce18a83805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1104</TotalTime>
  <Pages>5</Pages>
  <Words>2658</Words>
  <Characters>15017</Characters>
  <Application>Microsoft Office Word</Application>
  <DocSecurity>0</DocSecurity>
  <Lines>125</Lines>
  <Paragraphs>35</Paragraphs>
  <ScaleCrop>false</ScaleCrop>
  <HeadingPairs>
    <vt:vector size="2" baseType="variant">
      <vt:variant>
        <vt:lpstr>Titolo</vt:lpstr>
      </vt:variant>
      <vt:variant>
        <vt:i4>1</vt:i4>
      </vt:variant>
    </vt:vector>
  </HeadingPairs>
  <TitlesOfParts>
    <vt:vector size="1" baseType="lpstr">
      <vt:lpstr/>
    </vt:vector>
  </TitlesOfParts>
  <Company>DII</Company>
  <LinksUpToDate>false</LinksUpToDate>
  <CharactersWithSpaces>17640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dc:creator>
  <cp:keywords/>
  <cp:lastModifiedBy>Massimiliano Caramia</cp:lastModifiedBy>
  <cp:revision>471</cp:revision>
  <cp:lastPrinted>2024-09-13T08:48:00Z</cp:lastPrinted>
  <dcterms:created xsi:type="dcterms:W3CDTF">2022-08-12T10:35:00Z</dcterms:created>
  <dcterms:modified xsi:type="dcterms:W3CDTF">2025-09-29T17:30:00Z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f7cd0ce5d0817681d9b60b50d0b47e3e78b6dabf409059bfc38a1ce3bf784311</vt:lpwstr>
  </property>
</Properties>
</file>