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33EC" w14:textId="3B8F76C8"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noProof/>
          <w:sz w:val="22"/>
          <w:szCs w:val="22"/>
        </w:rPr>
        <w:drawing>
          <wp:inline distT="0" distB="0" distL="0" distR="0" wp14:anchorId="50C52BB9" wp14:editId="5AF9C88C">
            <wp:extent cx="2819400" cy="671830"/>
            <wp:effectExtent l="0" t="0" r="0" b="0"/>
            <wp:docPr id="920510009" name="Immagine 2"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magine che contiene testo, Carattere, Elementi grafici, grafica&#10;&#10;Descrizione generat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671830"/>
                    </a:xfrm>
                    <a:prstGeom prst="rect">
                      <a:avLst/>
                    </a:prstGeom>
                    <a:noFill/>
                    <a:ln>
                      <a:noFill/>
                    </a:ln>
                  </pic:spPr>
                </pic:pic>
              </a:graphicData>
            </a:graphic>
          </wp:inline>
        </w:drawing>
      </w:r>
      <w:r w:rsidRPr="004B4481">
        <w:rPr>
          <w:rFonts w:ascii="Arial" w:hAnsi="Arial" w:cs="Arial"/>
          <w:sz w:val="22"/>
          <w:szCs w:val="22"/>
        </w:rPr>
        <w:t> </w:t>
      </w:r>
    </w:p>
    <w:p w14:paraId="0F73A4CD" w14:textId="77777777"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 </w:t>
      </w:r>
    </w:p>
    <w:p w14:paraId="62860B8F" w14:textId="77777777"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 </w:t>
      </w:r>
    </w:p>
    <w:p w14:paraId="4B766AE7" w14:textId="77777777"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 </w:t>
      </w:r>
    </w:p>
    <w:p w14:paraId="18F006B9" w14:textId="5483D40B"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SCHEDA DI MONITORAGGIO ANNUALE – ANNO 2026</w:t>
      </w:r>
    </w:p>
    <w:p w14:paraId="4B3EA2C6" w14:textId="7C88F513"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 xml:space="preserve">LAUREA </w:t>
      </w:r>
      <w:r>
        <w:rPr>
          <w:rFonts w:ascii="Arial" w:hAnsi="Arial" w:cs="Arial"/>
          <w:sz w:val="22"/>
          <w:szCs w:val="22"/>
        </w:rPr>
        <w:t>TRIENNALE (CONVENZIONALE)</w:t>
      </w:r>
      <w:r w:rsidRPr="004B4481">
        <w:rPr>
          <w:rFonts w:ascii="Arial" w:hAnsi="Arial" w:cs="Arial"/>
          <w:sz w:val="22"/>
          <w:szCs w:val="22"/>
        </w:rPr>
        <w:t xml:space="preserve"> IN INGEGNERIA GESTIONALE – L-</w:t>
      </w:r>
      <w:r>
        <w:rPr>
          <w:rFonts w:ascii="Arial" w:hAnsi="Arial" w:cs="Arial"/>
          <w:sz w:val="22"/>
          <w:szCs w:val="22"/>
        </w:rPr>
        <w:t>9</w:t>
      </w:r>
      <w:r w:rsidRPr="004B4481">
        <w:rPr>
          <w:rFonts w:ascii="Arial" w:hAnsi="Arial" w:cs="Arial"/>
          <w:sz w:val="22"/>
          <w:szCs w:val="22"/>
        </w:rPr>
        <w:t> </w:t>
      </w:r>
    </w:p>
    <w:p w14:paraId="3CF76F48" w14:textId="77777777" w:rsidR="004B4481" w:rsidRPr="004B4481" w:rsidRDefault="004B4481" w:rsidP="004B4481">
      <w:pPr>
        <w:autoSpaceDE w:val="0"/>
        <w:autoSpaceDN w:val="0"/>
        <w:adjustRightInd w:val="0"/>
        <w:jc w:val="both"/>
        <w:rPr>
          <w:rFonts w:ascii="Arial" w:hAnsi="Arial" w:cs="Arial"/>
          <w:sz w:val="22"/>
          <w:szCs w:val="22"/>
        </w:rPr>
      </w:pPr>
      <w:r w:rsidRPr="004B4481">
        <w:rPr>
          <w:rFonts w:ascii="Arial" w:hAnsi="Arial" w:cs="Arial"/>
          <w:sz w:val="22"/>
          <w:szCs w:val="22"/>
        </w:rPr>
        <w:t xml:space="preserve">COORDINATORE </w:t>
      </w:r>
      <w:proofErr w:type="spellStart"/>
      <w:r w:rsidRPr="004B4481">
        <w:rPr>
          <w:rFonts w:ascii="Arial" w:hAnsi="Arial" w:cs="Arial"/>
          <w:sz w:val="22"/>
          <w:szCs w:val="22"/>
        </w:rPr>
        <w:t>CdS</w:t>
      </w:r>
      <w:proofErr w:type="spellEnd"/>
      <w:r w:rsidRPr="004B4481">
        <w:rPr>
          <w:rFonts w:ascii="Arial" w:hAnsi="Arial" w:cs="Arial"/>
          <w:sz w:val="22"/>
          <w:szCs w:val="22"/>
        </w:rPr>
        <w:t xml:space="preserve"> INGEGNERIA GESTIONALE: Prof. Massimiliano Caramia </w:t>
      </w:r>
    </w:p>
    <w:p w14:paraId="29155E53" w14:textId="77777777" w:rsidR="004B4481" w:rsidRDefault="004B4481" w:rsidP="00060F9E">
      <w:pPr>
        <w:autoSpaceDE w:val="0"/>
        <w:autoSpaceDN w:val="0"/>
        <w:adjustRightInd w:val="0"/>
        <w:jc w:val="both"/>
        <w:rPr>
          <w:rFonts w:ascii="Arial" w:hAnsi="Arial" w:cs="Arial"/>
          <w:sz w:val="22"/>
          <w:szCs w:val="22"/>
        </w:rPr>
      </w:pPr>
    </w:p>
    <w:p w14:paraId="5A1E0638" w14:textId="77777777" w:rsidR="004B4481" w:rsidRDefault="004B4481" w:rsidP="00060F9E">
      <w:pPr>
        <w:autoSpaceDE w:val="0"/>
        <w:autoSpaceDN w:val="0"/>
        <w:adjustRightInd w:val="0"/>
        <w:jc w:val="both"/>
        <w:rPr>
          <w:rFonts w:ascii="Arial" w:hAnsi="Arial" w:cs="Arial"/>
          <w:sz w:val="22"/>
          <w:szCs w:val="22"/>
        </w:rPr>
      </w:pPr>
    </w:p>
    <w:p w14:paraId="7E847E4E" w14:textId="77777777" w:rsidR="004B4481" w:rsidRDefault="004B4481" w:rsidP="00060F9E">
      <w:pPr>
        <w:autoSpaceDE w:val="0"/>
        <w:autoSpaceDN w:val="0"/>
        <w:adjustRightInd w:val="0"/>
        <w:jc w:val="both"/>
        <w:rPr>
          <w:rFonts w:ascii="Arial" w:hAnsi="Arial" w:cs="Arial"/>
          <w:sz w:val="22"/>
          <w:szCs w:val="22"/>
        </w:rPr>
      </w:pPr>
    </w:p>
    <w:p w14:paraId="65F242C0" w14:textId="77777777" w:rsidR="0073025B" w:rsidRPr="0073025B" w:rsidRDefault="00AD7D0A" w:rsidP="0073025B">
      <w:pPr>
        <w:autoSpaceDE w:val="0"/>
        <w:autoSpaceDN w:val="0"/>
        <w:adjustRightInd w:val="0"/>
        <w:jc w:val="both"/>
        <w:rPr>
          <w:rFonts w:ascii="Arial" w:hAnsi="Arial" w:cs="Arial"/>
          <w:sz w:val="22"/>
          <w:szCs w:val="22"/>
        </w:rPr>
      </w:pPr>
      <w:r w:rsidRPr="00060F9E">
        <w:rPr>
          <w:rFonts w:ascii="Arial" w:hAnsi="Arial" w:cs="Arial"/>
          <w:sz w:val="22"/>
          <w:szCs w:val="22"/>
        </w:rPr>
        <w:t>Si riporta il commento agli indicatori maggiormente rappresentativi e attinenti agli obiettivi strategici dell'Ateneo - integrati con altri ritenuti significativi dal CdS - come raccomandato dalle linee guida ANVUR. L'analisi, condotta tenendo conto dei dati disponibili nell'ultimo triennio, è organizzata rispetto alle seguenti voci: Attrattività, Efficienza e andamento delle carriere, Soddisfazione e occupabilità dei laureati, Qualificazione del corpo docente e sostenibilità, Gruppo B – Indicatori internazionalizzazione (DM987/2017 e DM6/2019, allegato E). I dati ANVUR sono aggiornati al 4 luglio 2026 e sono integrati con i dati AlmaLaurea relativi ai laureati 2025, con l'indagine occupazionale AlmaLaurea disponibile nel 2025 e con i dati di Ateneo sugli immatricolati dell'a.a. 2025/26.</w:t>
      </w:r>
    </w:p>
    <w:p w14:paraId="75F77A00" w14:textId="19F7A85B" w:rsidR="004A113D" w:rsidRPr="00060F9E" w:rsidRDefault="004A113D" w:rsidP="00060F9E">
      <w:pPr>
        <w:autoSpaceDE w:val="0"/>
        <w:autoSpaceDN w:val="0"/>
        <w:adjustRightInd w:val="0"/>
        <w:jc w:val="both"/>
        <w:rPr>
          <w:rFonts w:ascii="Arial" w:hAnsi="Arial" w:cs="Arial"/>
          <w:sz w:val="22"/>
          <w:szCs w:val="22"/>
        </w:rPr>
      </w:pPr>
    </w:p>
    <w:p w14:paraId="32105773" w14:textId="63FFA8DA" w:rsidR="00A525E8" w:rsidRPr="00060F9E" w:rsidRDefault="00A525E8" w:rsidP="00060F9E">
      <w:pPr>
        <w:autoSpaceDE w:val="0"/>
        <w:autoSpaceDN w:val="0"/>
        <w:adjustRightInd w:val="0"/>
        <w:jc w:val="both"/>
        <w:rPr>
          <w:rFonts w:ascii="Arial" w:hAnsi="Arial" w:cs="Arial"/>
          <w:sz w:val="22"/>
          <w:szCs w:val="22"/>
        </w:rPr>
      </w:pPr>
    </w:p>
    <w:p w14:paraId="5837D702" w14:textId="2C3CB3DF" w:rsidR="006F3889" w:rsidRPr="00B72639" w:rsidRDefault="006F3889" w:rsidP="00060F9E">
      <w:pPr>
        <w:autoSpaceDE w:val="0"/>
        <w:autoSpaceDN w:val="0"/>
        <w:adjustRightInd w:val="0"/>
        <w:jc w:val="both"/>
        <w:rPr>
          <w:rFonts w:ascii="Arial" w:hAnsi="Arial" w:cs="Arial"/>
          <w:b/>
          <w:bCs/>
          <w:sz w:val="22"/>
          <w:szCs w:val="22"/>
        </w:rPr>
      </w:pPr>
      <w:r w:rsidRPr="00B72639">
        <w:rPr>
          <w:rFonts w:ascii="Arial" w:hAnsi="Arial" w:cs="Arial"/>
          <w:b/>
          <w:bCs/>
          <w:sz w:val="22"/>
          <w:szCs w:val="22"/>
        </w:rPr>
        <w:t>ATTRATTIVITÀ</w:t>
      </w:r>
    </w:p>
    <w:p w14:paraId="4A8A590D" w14:textId="0860DDEC" w:rsidR="006F3889" w:rsidRPr="00A27D08" w:rsidRDefault="006F3889" w:rsidP="00060F9E">
      <w:pPr>
        <w:autoSpaceDE w:val="0"/>
        <w:autoSpaceDN w:val="0"/>
        <w:adjustRightInd w:val="0"/>
        <w:jc w:val="both"/>
        <w:rPr>
          <w:rFonts w:ascii="Arial" w:hAnsi="Arial" w:cs="Arial"/>
          <w:sz w:val="22"/>
          <w:szCs w:val="22"/>
          <w:shd w:val="clear" w:color="auto" w:fill="FFFFFF"/>
        </w:rPr>
      </w:pPr>
      <w:r w:rsidRPr="00A27D08">
        <w:rPr>
          <w:rFonts w:ascii="Arial" w:hAnsi="Arial" w:cs="Arial"/>
          <w:sz w:val="22"/>
          <w:szCs w:val="22"/>
          <w:shd w:val="clear" w:color="auto" w:fill="FFFFFF"/>
        </w:rPr>
        <w:t>Dall’analisi dell’indicatore iC00a relativo agli avvii di carriera al primo anno nel triennio più recente emerge una riduzione significativa: 289 nel 2023/24, 246 nel 2024/25 e 195 nel 2025/26. Il dato più recente resta comunque superiore alle medie dei CdS della stessa classe dello stesso Ateneo (136,2), della stessa area geografica (157,4) e nazionali non telematici (165,0).</w:t>
      </w:r>
    </w:p>
    <w:p w14:paraId="388732F2" w14:textId="2EE875EA" w:rsidR="006F3889" w:rsidRPr="00A27D08" w:rsidRDefault="006F3889" w:rsidP="00A27D08">
      <w:pPr>
        <w:autoSpaceDE w:val="0"/>
        <w:autoSpaceDN w:val="0"/>
        <w:adjustRightInd w:val="0"/>
        <w:jc w:val="both"/>
        <w:rPr>
          <w:rFonts w:ascii="Arial" w:hAnsi="Arial" w:cs="Arial"/>
          <w:sz w:val="22"/>
          <w:szCs w:val="22"/>
          <w:shd w:val="clear" w:color="auto" w:fill="FFFFFF"/>
        </w:rPr>
      </w:pPr>
      <w:r w:rsidRPr="00A27D08">
        <w:rPr>
          <w:rFonts w:ascii="Arial" w:hAnsi="Arial" w:cs="Arial"/>
          <w:sz w:val="22"/>
          <w:szCs w:val="22"/>
          <w:shd w:val="clear" w:color="auto" w:fill="FFFFFF"/>
        </w:rPr>
        <w:t xml:space="preserve">Nel triennio 2023/24-2025/26 la media degli avvii di carriera al primo anno è pari a circa 243, valore ancora nettamente superiore alle corrispondenti medie dei CdS della stessa classe dello stesso Ateneo (circa 131), della stessa area geografica (circa 144) e a livello nazionale (circa 161). La dinamica dell'ultimo biennio richiede tuttavia un attento monitoraggio dell'attrattività complessiva del </w:t>
      </w:r>
      <w:proofErr w:type="spellStart"/>
      <w:r w:rsidRPr="00A27D08">
        <w:rPr>
          <w:rFonts w:ascii="Arial" w:hAnsi="Arial" w:cs="Arial"/>
          <w:sz w:val="22"/>
          <w:szCs w:val="22"/>
          <w:shd w:val="clear" w:color="auto" w:fill="FFFFFF"/>
        </w:rPr>
        <w:t>CdS</w:t>
      </w:r>
      <w:proofErr w:type="spellEnd"/>
      <w:r w:rsidRPr="00A27D08">
        <w:rPr>
          <w:rFonts w:ascii="Arial" w:hAnsi="Arial" w:cs="Arial"/>
          <w:sz w:val="22"/>
          <w:szCs w:val="22"/>
          <w:shd w:val="clear" w:color="auto" w:fill="FFFFFF"/>
        </w:rPr>
        <w:t>.</w:t>
      </w:r>
    </w:p>
    <w:p w14:paraId="35BA44FB" w14:textId="27094F3F" w:rsidR="006F3889" w:rsidRPr="00315C3D" w:rsidRDefault="00CB0FEA" w:rsidP="00060F9E">
      <w:pPr>
        <w:autoSpaceDE w:val="0"/>
        <w:autoSpaceDN w:val="0"/>
        <w:adjustRightInd w:val="0"/>
        <w:jc w:val="both"/>
        <w:rPr>
          <w:rFonts w:ascii="Arial" w:hAnsi="Arial" w:cs="Arial"/>
          <w:sz w:val="22"/>
          <w:szCs w:val="22"/>
          <w:shd w:val="clear" w:color="auto" w:fill="FFFFFF"/>
        </w:rPr>
      </w:pPr>
      <w:r>
        <w:rPr>
          <w:rFonts w:ascii="Arial" w:hAnsi="Arial" w:cs="Arial"/>
          <w:sz w:val="22"/>
          <w:szCs w:val="22"/>
          <w:shd w:val="clear" w:color="auto" w:fill="FFFFFF"/>
        </w:rPr>
        <w:t>Il numero degli immatricolati puri (indicatore iC00b) è pari a 179 nel 2025/26, rispetto a 232 nel 2024/25 e 259 nel 2023/24. Pur in presenza di una riduzione, nel 2025/26 il valore del CdS risulta superiore alla media dei CdS della stessa classe dello stesso Ateneo di circa il 63%, a quella della stessa area geografica di circa il 27% e a quella nazionale di circa il 21%.</w:t>
      </w:r>
    </w:p>
    <w:p w14:paraId="73320F9E" w14:textId="1A0A2B11" w:rsidR="004748D3" w:rsidRPr="00C55794" w:rsidRDefault="004748D3" w:rsidP="004748D3">
      <w:pPr>
        <w:autoSpaceDE w:val="0"/>
        <w:autoSpaceDN w:val="0"/>
        <w:adjustRightInd w:val="0"/>
        <w:jc w:val="both"/>
        <w:rPr>
          <w:rFonts w:ascii="Arial" w:hAnsi="Arial" w:cs="Arial"/>
          <w:sz w:val="22"/>
          <w:szCs w:val="22"/>
          <w:shd w:val="clear" w:color="auto" w:fill="FFFFFF"/>
        </w:rPr>
      </w:pPr>
      <w:r w:rsidRPr="00C55794">
        <w:rPr>
          <w:rFonts w:ascii="Arial" w:hAnsi="Arial" w:cs="Arial"/>
          <w:sz w:val="22"/>
          <w:szCs w:val="22"/>
          <w:shd w:val="clear" w:color="auto" w:fill="FFFFFF"/>
        </w:rPr>
        <w:t>Il numero di iscritti complessivi (iC00d) al CdL in Ingegneria Gestionale (convenzionale) passa da 789 nel 2023/24 a 766 nel 2024/25 e a 709 nel 2025/26. La media del triennio è pari a circa 755 iscritti e rimane ampiamente superiore alle medie di confronto; nel 2025/26 il valore è superiore di circa l'84% rispetto ai CdS della stessa classe dello stesso Ateneo, del 54% rispetto alla stessa area geografica e del 36% rispetto al dato nazionale.</w:t>
      </w:r>
    </w:p>
    <w:p w14:paraId="1F06FFB7" w14:textId="2E72DE9A" w:rsidR="004748D3" w:rsidRPr="00FB1551" w:rsidRDefault="004748D3" w:rsidP="004748D3">
      <w:pPr>
        <w:autoSpaceDE w:val="0"/>
        <w:autoSpaceDN w:val="0"/>
        <w:adjustRightInd w:val="0"/>
        <w:jc w:val="both"/>
        <w:rPr>
          <w:rFonts w:ascii="Arial" w:hAnsi="Arial" w:cs="Arial"/>
          <w:sz w:val="22"/>
          <w:szCs w:val="22"/>
          <w:shd w:val="clear" w:color="auto" w:fill="FFFFFF"/>
        </w:rPr>
      </w:pPr>
      <w:r w:rsidRPr="00FB1551">
        <w:rPr>
          <w:rFonts w:ascii="Arial" w:hAnsi="Arial" w:cs="Arial"/>
          <w:sz w:val="22"/>
          <w:szCs w:val="22"/>
          <w:shd w:val="clear" w:color="auto" w:fill="FFFFFF"/>
        </w:rPr>
        <w:t>Il numero degli iscritti regolari (iC00e) diminuisce da 549 nel 2023/24 a 535 nel 2024/25 e a 480 nel 2025/26. Parallelamente, la quota di iscritti non regolari sul totale si mantiene intorno al 30-32% nel triennio. Il valore medio degli iscritti regolari, pari a circa 521, resta comunque ampiamente superiore alle medie dei CdS della stessa classe dello stesso Ateneo (circa 264), della stessa area geografica (circa 319) e nazionali (circa 384).</w:t>
      </w:r>
    </w:p>
    <w:p w14:paraId="38841B9F" w14:textId="242358C2" w:rsidR="004748D3" w:rsidRPr="000A2932" w:rsidRDefault="004748D3" w:rsidP="00060F9E">
      <w:pPr>
        <w:autoSpaceDE w:val="0"/>
        <w:autoSpaceDN w:val="0"/>
        <w:adjustRightInd w:val="0"/>
        <w:jc w:val="both"/>
        <w:rPr>
          <w:rFonts w:ascii="Arial" w:hAnsi="Arial" w:cs="Arial"/>
          <w:sz w:val="22"/>
          <w:szCs w:val="22"/>
          <w:shd w:val="clear" w:color="auto" w:fill="FFFFFF"/>
        </w:rPr>
      </w:pPr>
      <w:r w:rsidRPr="000A2932">
        <w:rPr>
          <w:rFonts w:ascii="Arial" w:hAnsi="Arial" w:cs="Arial"/>
          <w:sz w:val="22"/>
          <w:szCs w:val="22"/>
          <w:shd w:val="clear" w:color="auto" w:fill="FFFFFF"/>
        </w:rPr>
        <w:t>Il numero degli iscritti regolari immatricolati puri (iC00f) è pari a 501 nel 2023/24, 496 nel 2024/25 e 440 nel 2025/26. La media del triennio è pari a 479, superiore alle corrispondenti medie dei CdS della stessa classe dello stesso Ateneo (circa 225), della stessa area geografica (circa 281) e nazionali (circa 343).</w:t>
      </w:r>
    </w:p>
    <w:p w14:paraId="20EAD2DF" w14:textId="2E93F88D" w:rsidR="006F3889" w:rsidRPr="00902C5D" w:rsidRDefault="006F3889" w:rsidP="00060F9E">
      <w:pPr>
        <w:autoSpaceDE w:val="0"/>
        <w:autoSpaceDN w:val="0"/>
        <w:adjustRightInd w:val="0"/>
        <w:jc w:val="both"/>
        <w:rPr>
          <w:rFonts w:ascii="Arial" w:hAnsi="Arial" w:cs="Arial"/>
          <w:sz w:val="22"/>
          <w:szCs w:val="22"/>
          <w:shd w:val="clear" w:color="auto" w:fill="FFFFFF"/>
        </w:rPr>
      </w:pPr>
      <w:r w:rsidRPr="00902C5D">
        <w:rPr>
          <w:rFonts w:ascii="Arial" w:hAnsi="Arial" w:cs="Arial"/>
          <w:sz w:val="22"/>
          <w:szCs w:val="22"/>
          <w:shd w:val="clear" w:color="auto" w:fill="FFFFFF"/>
        </w:rPr>
        <w:t>Dai dati di Ateneo sugli immatricolati dell'a.a. 2025/26 risultano 195 immatricolati complessivi al corso convenzionale. Il 95,4% risiede nel Lazio. Con riferimento al diploma, il 63,1% proviene dal Liceo Scientifico, il 3,1% dal Liceo Classico e il 10,8% dal Liceo Linguistico; il 9,7% ha conseguito il diploma con voto 100/100 e il 19,5% con voto compreso tra 90 e 99/100.</w:t>
      </w:r>
    </w:p>
    <w:p w14:paraId="6BA8699C" w14:textId="30551D07" w:rsidR="006F3889" w:rsidRPr="005A695F" w:rsidRDefault="006F3889" w:rsidP="00060F9E">
      <w:pPr>
        <w:autoSpaceDE w:val="0"/>
        <w:autoSpaceDN w:val="0"/>
        <w:adjustRightInd w:val="0"/>
        <w:jc w:val="both"/>
        <w:rPr>
          <w:rFonts w:ascii="Arial" w:hAnsi="Arial" w:cs="Arial"/>
          <w:sz w:val="22"/>
          <w:szCs w:val="22"/>
          <w:shd w:val="clear" w:color="auto" w:fill="FFFFFF"/>
        </w:rPr>
      </w:pPr>
      <w:r w:rsidRPr="005A695F">
        <w:rPr>
          <w:rFonts w:ascii="Arial" w:hAnsi="Arial" w:cs="Arial"/>
          <w:sz w:val="22"/>
          <w:szCs w:val="22"/>
          <w:shd w:val="clear" w:color="auto" w:fill="FFFFFF"/>
        </w:rPr>
        <w:lastRenderedPageBreak/>
        <w:t>L'indicatore iC03 evidenzia una criticità crescente nell'attrattività da fuori regione: la percentuale di iscritti al primo anno provenienti da altre regioni passa dal 10,7% nel 2023/24 all'8,9% nel 2024/25 e al 3,6% nel 2025/26. Il dato più recente è nettamente inferiore alle medie dei CdS della stessa classe dello stesso Ateneo (34,4%), della stessa area geografica (21,7%) e nazionali (19,9%).</w:t>
      </w:r>
    </w:p>
    <w:p w14:paraId="61FD9487" w14:textId="77777777" w:rsidR="006F3889" w:rsidRPr="0054453E" w:rsidRDefault="006F3889" w:rsidP="00060F9E">
      <w:pPr>
        <w:autoSpaceDE w:val="0"/>
        <w:autoSpaceDN w:val="0"/>
        <w:adjustRightInd w:val="0"/>
        <w:jc w:val="both"/>
        <w:rPr>
          <w:rFonts w:ascii="Arial" w:hAnsi="Arial" w:cs="Arial"/>
          <w:sz w:val="22"/>
          <w:szCs w:val="22"/>
          <w:highlight w:val="yellow"/>
        </w:rPr>
      </w:pPr>
    </w:p>
    <w:p w14:paraId="60386C72" w14:textId="77777777" w:rsidR="00A012DF" w:rsidRPr="0054453E" w:rsidRDefault="00A012DF" w:rsidP="00060F9E">
      <w:pPr>
        <w:shd w:val="clear" w:color="auto" w:fill="FFFFFF"/>
        <w:autoSpaceDE w:val="0"/>
        <w:autoSpaceDN w:val="0"/>
        <w:adjustRightInd w:val="0"/>
        <w:spacing w:after="120"/>
        <w:ind w:right="184"/>
        <w:jc w:val="both"/>
        <w:rPr>
          <w:rFonts w:ascii="Arial" w:hAnsi="Arial" w:cs="Arial"/>
          <w:b/>
          <w:bCs/>
          <w:caps/>
          <w:sz w:val="22"/>
          <w:szCs w:val="22"/>
          <w:highlight w:val="yellow"/>
        </w:rPr>
      </w:pPr>
    </w:p>
    <w:p w14:paraId="7C0D7019" w14:textId="725C766F" w:rsidR="00667024" w:rsidRPr="00C53527" w:rsidRDefault="00667024" w:rsidP="00060F9E">
      <w:pPr>
        <w:shd w:val="clear" w:color="auto" w:fill="FFFFFF"/>
        <w:autoSpaceDE w:val="0"/>
        <w:autoSpaceDN w:val="0"/>
        <w:adjustRightInd w:val="0"/>
        <w:spacing w:after="120"/>
        <w:ind w:right="184"/>
        <w:jc w:val="both"/>
        <w:rPr>
          <w:rFonts w:ascii="Arial" w:hAnsi="Arial" w:cs="Arial"/>
          <w:b/>
          <w:bCs/>
          <w:caps/>
          <w:sz w:val="22"/>
          <w:szCs w:val="22"/>
        </w:rPr>
      </w:pPr>
      <w:r w:rsidRPr="00C53527">
        <w:rPr>
          <w:rFonts w:ascii="Arial" w:hAnsi="Arial" w:cs="Arial"/>
          <w:b/>
          <w:bCs/>
          <w:caps/>
          <w:sz w:val="22"/>
          <w:szCs w:val="22"/>
        </w:rPr>
        <w:t>Efficienza e andamento delle Carriere</w:t>
      </w:r>
    </w:p>
    <w:p w14:paraId="7A98274A" w14:textId="12A5336C" w:rsidR="00AD7D0A" w:rsidRPr="00430205" w:rsidRDefault="00AD7D0A" w:rsidP="00060F9E">
      <w:pPr>
        <w:autoSpaceDE w:val="0"/>
        <w:autoSpaceDN w:val="0"/>
        <w:adjustRightInd w:val="0"/>
        <w:jc w:val="both"/>
        <w:rPr>
          <w:rFonts w:ascii="Arial" w:hAnsi="Arial" w:cs="Arial"/>
          <w:color w:val="333333"/>
          <w:sz w:val="22"/>
          <w:szCs w:val="22"/>
          <w:shd w:val="clear" w:color="auto" w:fill="FFFFFF"/>
        </w:rPr>
      </w:pPr>
      <w:r w:rsidRPr="00430205">
        <w:rPr>
          <w:rFonts w:ascii="Arial" w:hAnsi="Arial" w:cs="Arial"/>
          <w:color w:val="333333"/>
          <w:sz w:val="22"/>
          <w:szCs w:val="22"/>
          <w:shd w:val="clear" w:color="auto" w:fill="FFFFFF"/>
        </w:rPr>
        <w:t>Nell'ultimo triennio disponibile per l'indicatore iC01 (2022-2024), la percentuale degli iscritti entro la durata legale del CdS che hanno acquisito almeno 40 CFU nell'anno è in costante aumento: 31,7% nel 2022, 34,2% nel 2023 e 38,9% nel 2024. Il valore 2024 è nettamente superiore alla media dei CdS della stessa classe dello stesso Ateneo (24,2%), sostanzialmente allineato a quella della stessa area geografica (40,3%) e inferiore alla media nazionale (49,3%).</w:t>
      </w:r>
    </w:p>
    <w:p w14:paraId="56E3971F" w14:textId="5D955595" w:rsidR="00387FB0" w:rsidRPr="00C53527" w:rsidRDefault="00387FB0" w:rsidP="00387FB0">
      <w:pPr>
        <w:jc w:val="both"/>
        <w:rPr>
          <w:rFonts w:ascii="Arial" w:hAnsi="Arial" w:cs="Arial"/>
          <w:sz w:val="22"/>
          <w:szCs w:val="22"/>
          <w:shd w:val="clear" w:color="auto" w:fill="FFFFFF"/>
        </w:rPr>
      </w:pPr>
      <w:r w:rsidRPr="00C53527">
        <w:rPr>
          <w:rFonts w:ascii="Arial" w:hAnsi="Arial" w:cs="Arial"/>
          <w:sz w:val="22"/>
          <w:szCs w:val="22"/>
          <w:shd w:val="clear" w:color="auto" w:fill="FFFFFF"/>
        </w:rPr>
        <w:t>La percentuale dei laureati entro la durata normale del CdS (iC02) mostra invece una riduzione: 40,7% nel 2023, 33,7% nel 2024 e 32,3% nel 2025, con una media triennale pari a circa 35,6%. Nel 2025 il dato resta superiore alla media dei CdS della stessa classe dello stesso Ateneo (29,2%), ma è inferiore alla media della stessa area geografica (39,6%) e, in misura più marcata, alla media nazionale (48,4%).</w:t>
      </w:r>
    </w:p>
    <w:p w14:paraId="7F87DAE6" w14:textId="4411842C" w:rsidR="00D50113" w:rsidRPr="00C64CD7" w:rsidRDefault="00387FB0" w:rsidP="00060F9E">
      <w:pPr>
        <w:autoSpaceDE w:val="0"/>
        <w:autoSpaceDN w:val="0"/>
        <w:adjustRightInd w:val="0"/>
        <w:jc w:val="both"/>
        <w:rPr>
          <w:rFonts w:ascii="Arial" w:hAnsi="Arial" w:cs="Arial"/>
          <w:sz w:val="22"/>
          <w:szCs w:val="22"/>
          <w:shd w:val="clear" w:color="auto" w:fill="FFFFFF"/>
        </w:rPr>
      </w:pPr>
      <w:r w:rsidRPr="00C64CD7">
        <w:rPr>
          <w:rFonts w:ascii="Arial" w:hAnsi="Arial" w:cs="Arial"/>
          <w:sz w:val="22"/>
          <w:szCs w:val="22"/>
          <w:shd w:val="clear" w:color="auto" w:fill="FFFFFF"/>
        </w:rPr>
        <w:t>La percentuale di CFU conseguiti al primo anno su quelli da conseguire (iC13) è in miglioramento nel triennio disponibile: 28,1% nel 2022, 30,8% nel 2023 e 34,6% nel 2024. Nell'ultimo anno il CdS supera di poco la media dei CdS della stessa classe dello stesso Ateneo (33,6%), ma resta al di sotto della media della stessa area geografica (45,7%) e di quella nazionale (52,5%).</w:t>
      </w:r>
    </w:p>
    <w:p w14:paraId="622AD9E6" w14:textId="73F0FCCA" w:rsidR="00387FB0" w:rsidRPr="005D268C" w:rsidRDefault="006A78C9" w:rsidP="00387FB0">
      <w:pPr>
        <w:autoSpaceDE w:val="0"/>
        <w:autoSpaceDN w:val="0"/>
        <w:adjustRightInd w:val="0"/>
        <w:jc w:val="both"/>
        <w:rPr>
          <w:rFonts w:ascii="Arial" w:hAnsi="Arial" w:cs="Arial"/>
          <w:sz w:val="22"/>
          <w:szCs w:val="22"/>
          <w:shd w:val="clear" w:color="auto" w:fill="FFFFFF"/>
        </w:rPr>
      </w:pPr>
      <w:r w:rsidRPr="005D268C">
        <w:rPr>
          <w:rFonts w:ascii="Arial" w:hAnsi="Arial" w:cs="Arial"/>
          <w:sz w:val="22"/>
          <w:szCs w:val="22"/>
          <w:shd w:val="clear" w:color="auto" w:fill="FFFFFF"/>
        </w:rPr>
        <w:t>Anche la percentuale di studenti che proseguono al secondo anno nello stesso CdS (iC14) mostra un andamento positivo: 50,2% nel 2022, 55,6% nel 2023 e 57,8% nel 2024. Nonostante il miglioramento, il valore più recente resta inferiore alla media dei CdS della stessa classe dello stesso Ateneo (65,5%), della stessa area geografica (74,2%) e nazionale (77,8%).</w:t>
      </w:r>
    </w:p>
    <w:p w14:paraId="3A2840D0" w14:textId="7CB120ED" w:rsidR="00AD7D0A" w:rsidRPr="00905BDA" w:rsidRDefault="0081671C" w:rsidP="00060F9E">
      <w:pPr>
        <w:autoSpaceDE w:val="0"/>
        <w:autoSpaceDN w:val="0"/>
        <w:adjustRightInd w:val="0"/>
        <w:jc w:val="both"/>
        <w:rPr>
          <w:rFonts w:ascii="Arial" w:hAnsi="Arial" w:cs="Arial"/>
          <w:sz w:val="22"/>
          <w:szCs w:val="22"/>
          <w:shd w:val="clear" w:color="auto" w:fill="FFFFFF"/>
        </w:rPr>
      </w:pPr>
      <w:r w:rsidRPr="00905BDA">
        <w:rPr>
          <w:rFonts w:ascii="Arial" w:hAnsi="Arial" w:cs="Arial"/>
          <w:sz w:val="22"/>
          <w:szCs w:val="22"/>
          <w:shd w:val="clear" w:color="auto" w:fill="FFFFFF"/>
        </w:rPr>
        <w:t>Per gli studenti che proseguono al secondo anno avendo acquisito almeno 20 CFU (iC15) e almeno 40 CFU (iC16) si osserva un miglioramento nel 2024, con valori rispettivamente pari al 45,7% e al 17,2% (37,1% e 15,1% nel 2023; 36,7% e 10,1% nel 2022). Il valore di iC15 è superiore alla media di Ateneo della stessa classe (40,9%), ma ancora inferiore ai valori della stessa area geografica (57,5%) e nazionali (63,1%); per iC16 il valore resta inferiore anche alla media di Ateneo (19,2%) e più distante dai riferimenti regionale (31,1%) e nazionale (39,4%).</w:t>
      </w:r>
    </w:p>
    <w:p w14:paraId="3F5C9B96" w14:textId="2644A3D8" w:rsidR="00686440" w:rsidRPr="00894015" w:rsidRDefault="00686440" w:rsidP="00686440">
      <w:pPr>
        <w:jc w:val="both"/>
        <w:rPr>
          <w:rFonts w:ascii="Arial" w:hAnsi="Arial" w:cs="Arial"/>
          <w:sz w:val="22"/>
          <w:szCs w:val="22"/>
          <w:shd w:val="clear" w:color="auto" w:fill="FFFFFF"/>
        </w:rPr>
      </w:pPr>
      <w:r w:rsidRPr="00894015">
        <w:rPr>
          <w:rFonts w:ascii="Arial" w:hAnsi="Arial" w:cs="Arial"/>
          <w:sz w:val="22"/>
          <w:szCs w:val="22"/>
          <w:shd w:val="clear" w:color="auto" w:fill="FFFFFF"/>
        </w:rPr>
        <w:t>La percentuale di immatricolati che si laureano entro un anno oltre la durata normale degli studi nello stesso CdS (iC17) è pari al 23,6% nel 2024, dopo il 27,9% nel 2023 e il 21,7% nel 2022. Il dato più recente è superiore alla media dei CdS della stessa classe dello stesso Ateneo (12,8%), ma inferiore a quella della stessa area geografica (32,2%) e nazionale (43,7%).</w:t>
      </w:r>
    </w:p>
    <w:p w14:paraId="514D1F95" w14:textId="2E3E0A2D" w:rsidR="004A113D" w:rsidRPr="00C100D2" w:rsidRDefault="00AD7D0A" w:rsidP="00060F9E">
      <w:pPr>
        <w:jc w:val="both"/>
        <w:rPr>
          <w:rFonts w:ascii="Arial" w:hAnsi="Arial" w:cs="Arial"/>
          <w:color w:val="333333"/>
          <w:sz w:val="22"/>
          <w:szCs w:val="22"/>
          <w:shd w:val="clear" w:color="auto" w:fill="FFFFFF"/>
        </w:rPr>
      </w:pPr>
      <w:r w:rsidRPr="00C100D2">
        <w:rPr>
          <w:rFonts w:ascii="Arial" w:hAnsi="Arial" w:cs="Arial"/>
          <w:color w:val="333333"/>
          <w:sz w:val="22"/>
          <w:szCs w:val="22"/>
          <w:shd w:val="clear" w:color="auto" w:fill="FFFFFF"/>
        </w:rPr>
        <w:t>Per quanto riguarda la regolarità negli studi, dal profilo AlmaLaurea dei laureati 2025 risulta un ritardo medio alla laurea di 1,8 anni, rispetto a 1,7 anni per i laureati 2024 e 1,8 anni per i laureati 2023. Il dato segnala quindi una sostanziale stabilità, senza un ulteriore miglioramento nell'ultima rilevazione.</w:t>
      </w:r>
    </w:p>
    <w:p w14:paraId="604824E5" w14:textId="48A2F929" w:rsidR="00CE15E6" w:rsidRPr="00C100D2" w:rsidRDefault="00CE15E6" w:rsidP="241DD682">
      <w:pPr>
        <w:autoSpaceDE w:val="0"/>
        <w:autoSpaceDN w:val="0"/>
        <w:adjustRightInd w:val="0"/>
        <w:jc w:val="both"/>
        <w:rPr>
          <w:rFonts w:ascii="Arial" w:hAnsi="Arial" w:cs="Arial"/>
          <w:sz w:val="22"/>
          <w:szCs w:val="22"/>
          <w:shd w:val="clear" w:color="auto" w:fill="FFFFFF"/>
        </w:rPr>
      </w:pPr>
      <w:r w:rsidRPr="00C100D2">
        <w:rPr>
          <w:rFonts w:ascii="Arial" w:hAnsi="Arial" w:cs="Arial"/>
          <w:sz w:val="22"/>
          <w:szCs w:val="22"/>
          <w:shd w:val="clear" w:color="auto" w:fill="FFFFFF"/>
        </w:rPr>
        <w:t>Dai dati AlmaLaurea relativi ai laureati 2025 risulta che il 79,2% risiede nella provincia della sede degli studi, il 10,4% in un'altra provincia della stessa regione e il 10,4% in un'altra regione. Rispetto ai laureati 2024 aumenta quindi la quota proveniente da altre regioni, pur restando la componente locale largamente prevalente.</w:t>
      </w:r>
    </w:p>
    <w:p w14:paraId="22FB773C" w14:textId="64A541BD" w:rsidR="00B3039F" w:rsidRPr="00C100D2" w:rsidRDefault="00B3039F" w:rsidP="00060F9E">
      <w:pPr>
        <w:jc w:val="both"/>
        <w:rPr>
          <w:rFonts w:ascii="Arial" w:hAnsi="Arial" w:cs="Arial"/>
          <w:color w:val="333333"/>
          <w:sz w:val="22"/>
          <w:szCs w:val="22"/>
          <w:shd w:val="clear" w:color="auto" w:fill="FFFFFF"/>
        </w:rPr>
      </w:pPr>
      <w:r w:rsidRPr="00C100D2">
        <w:rPr>
          <w:rFonts w:ascii="Arial" w:hAnsi="Arial" w:cs="Arial"/>
          <w:color w:val="333333"/>
          <w:sz w:val="22"/>
          <w:szCs w:val="22"/>
          <w:shd w:val="clear" w:color="auto" w:fill="FFFFFF"/>
        </w:rPr>
        <w:t>Il voto medio di laurea dei laureati 2025 è pari a 102,1/110, sostanzialmente stabile rispetto al 102,3/110 registrato sia nel 2024 sia nel 2023. Il punteggio medio degli esami è pari a 24,4/30, rispetto a 24,6/30 nel 2024 e 24,4/30 nel 2023.</w:t>
      </w:r>
    </w:p>
    <w:p w14:paraId="16C167D4" w14:textId="77777777" w:rsidR="004A113D" w:rsidRPr="0054453E" w:rsidRDefault="004A113D" w:rsidP="00060F9E">
      <w:pPr>
        <w:autoSpaceDE w:val="0"/>
        <w:autoSpaceDN w:val="0"/>
        <w:adjustRightInd w:val="0"/>
        <w:jc w:val="both"/>
        <w:rPr>
          <w:rFonts w:ascii="Arial" w:hAnsi="Arial" w:cs="Arial"/>
          <w:sz w:val="22"/>
          <w:szCs w:val="22"/>
          <w:highlight w:val="yellow"/>
        </w:rPr>
      </w:pPr>
    </w:p>
    <w:p w14:paraId="43900CA7" w14:textId="77777777" w:rsidR="00F0512F" w:rsidRPr="0054453E" w:rsidRDefault="00F0512F" w:rsidP="00060F9E">
      <w:pPr>
        <w:autoSpaceDE w:val="0"/>
        <w:autoSpaceDN w:val="0"/>
        <w:adjustRightInd w:val="0"/>
        <w:jc w:val="both"/>
        <w:rPr>
          <w:rFonts w:ascii="Arial" w:hAnsi="Arial" w:cs="Arial"/>
          <w:sz w:val="22"/>
          <w:szCs w:val="22"/>
          <w:highlight w:val="yellow"/>
        </w:rPr>
      </w:pPr>
    </w:p>
    <w:p w14:paraId="289BCE7D" w14:textId="7A589292" w:rsidR="004A113D" w:rsidRPr="00422802" w:rsidRDefault="005636C7" w:rsidP="00060F9E">
      <w:pPr>
        <w:autoSpaceDE w:val="0"/>
        <w:autoSpaceDN w:val="0"/>
        <w:adjustRightInd w:val="0"/>
        <w:jc w:val="both"/>
        <w:rPr>
          <w:rFonts w:ascii="Arial" w:hAnsi="Arial" w:cs="Arial"/>
          <w:b/>
          <w:bCs/>
          <w:sz w:val="22"/>
          <w:szCs w:val="22"/>
        </w:rPr>
      </w:pPr>
      <w:r w:rsidRPr="00422802">
        <w:rPr>
          <w:rFonts w:ascii="Arial" w:hAnsi="Arial" w:cs="Arial"/>
          <w:b/>
          <w:bCs/>
          <w:sz w:val="22"/>
          <w:szCs w:val="22"/>
        </w:rPr>
        <w:t>S</w:t>
      </w:r>
      <w:r w:rsidR="00B675B9" w:rsidRPr="00422802">
        <w:rPr>
          <w:rFonts w:ascii="Arial" w:hAnsi="Arial" w:cs="Arial"/>
          <w:b/>
          <w:bCs/>
          <w:sz w:val="22"/>
          <w:szCs w:val="22"/>
        </w:rPr>
        <w:t xml:space="preserve">ODDISFAZIONE E </w:t>
      </w:r>
      <w:r w:rsidR="004A113D" w:rsidRPr="00422802">
        <w:rPr>
          <w:rFonts w:ascii="Arial" w:hAnsi="Arial" w:cs="Arial"/>
          <w:b/>
          <w:bCs/>
          <w:sz w:val="22"/>
          <w:szCs w:val="22"/>
        </w:rPr>
        <w:t>OCCUPABILITÀ DE</w:t>
      </w:r>
      <w:r w:rsidR="00E716C6" w:rsidRPr="00422802">
        <w:rPr>
          <w:rFonts w:ascii="Arial" w:hAnsi="Arial" w:cs="Arial"/>
          <w:b/>
          <w:bCs/>
          <w:sz w:val="22"/>
          <w:szCs w:val="22"/>
        </w:rPr>
        <w:t>I LAUREATI</w:t>
      </w:r>
    </w:p>
    <w:p w14:paraId="143AF03F" w14:textId="32D811FE" w:rsidR="00BA034A" w:rsidRPr="005E067A" w:rsidRDefault="00010E67" w:rsidP="00060F9E">
      <w:pPr>
        <w:autoSpaceDE w:val="0"/>
        <w:autoSpaceDN w:val="0"/>
        <w:adjustRightInd w:val="0"/>
        <w:jc w:val="both"/>
        <w:rPr>
          <w:rFonts w:ascii="Arial" w:hAnsi="Arial" w:cs="Arial"/>
          <w:sz w:val="22"/>
          <w:szCs w:val="22"/>
          <w:shd w:val="clear" w:color="auto" w:fill="FFFFFF"/>
        </w:rPr>
      </w:pPr>
      <w:r w:rsidRPr="005E067A">
        <w:rPr>
          <w:rFonts w:ascii="Arial" w:hAnsi="Arial" w:cs="Arial"/>
          <w:sz w:val="22"/>
          <w:szCs w:val="22"/>
          <w:shd w:val="clear" w:color="auto" w:fill="FFFFFF"/>
        </w:rPr>
        <w:t>La percentuale dei laureandi complessivamente soddisfatti del CdS (iC25) è pari all'89,0% nel 2025, dopo il 91,6% nel 2024 e il 90,4% nel 2023. Pur mostrando una lieve flessione nell'ultimo anno, il dato 2025 resta superiore alla media dei CdS della stessa classe dello stesso Ateneo (81,0%), superiore alla media della stessa area geografica (86,8%) e allineato alla media nazionale (89,0%).</w:t>
      </w:r>
    </w:p>
    <w:p w14:paraId="0B75234A" w14:textId="44AA11A6" w:rsidR="001710E7" w:rsidRPr="005E067A" w:rsidRDefault="00BA034A" w:rsidP="00060F9E">
      <w:pPr>
        <w:shd w:val="clear" w:color="auto" w:fill="FFFFFF"/>
        <w:jc w:val="both"/>
        <w:textAlignment w:val="baseline"/>
        <w:rPr>
          <w:rFonts w:ascii="Arial" w:hAnsi="Arial" w:cs="Arial"/>
          <w:sz w:val="22"/>
          <w:szCs w:val="22"/>
        </w:rPr>
      </w:pPr>
      <w:r w:rsidRPr="005E067A">
        <w:rPr>
          <w:rFonts w:ascii="Arial" w:hAnsi="Arial" w:cs="Arial"/>
          <w:sz w:val="22"/>
          <w:szCs w:val="22"/>
        </w:rPr>
        <w:t xml:space="preserve">La percentuale di laureati che si iscriverebbero nuovamente allo stesso Corso di Laurea dello stesso Ateneo (iC18) è pari al 63,7% nel 2025, rispetto al 65,3% nel 2024 e al 69,2% nel 2023. Il dato è </w:t>
      </w:r>
      <w:r w:rsidRPr="005E067A">
        <w:rPr>
          <w:rFonts w:ascii="Arial" w:hAnsi="Arial" w:cs="Arial"/>
          <w:sz w:val="22"/>
          <w:szCs w:val="22"/>
        </w:rPr>
        <w:lastRenderedPageBreak/>
        <w:t>leggermente superiore alla media di Ateneo della stessa classe (62,0%), ma inferiore ai valori della stessa area geografica (71,0%) e nazionali (74,3%). Dai dati AlmaLaurea 2025 risulta inoltre che il 24,2% si iscriverebbe allo stesso corso in un altro Ateneo, quota superiore al 21,1% rilevato nel 2024.</w:t>
      </w:r>
    </w:p>
    <w:p w14:paraId="067EFC95" w14:textId="66241E8A" w:rsidR="00BA034A" w:rsidRPr="005E067A" w:rsidRDefault="00BA034A" w:rsidP="00060F9E">
      <w:pPr>
        <w:shd w:val="clear" w:color="auto" w:fill="FFFFFF"/>
        <w:jc w:val="both"/>
        <w:textAlignment w:val="baseline"/>
        <w:rPr>
          <w:rFonts w:ascii="Arial" w:hAnsi="Arial" w:cs="Arial"/>
          <w:sz w:val="22"/>
          <w:szCs w:val="22"/>
          <w:shd w:val="clear" w:color="auto" w:fill="FFFFFF"/>
        </w:rPr>
      </w:pPr>
      <w:r w:rsidRPr="005E067A">
        <w:rPr>
          <w:rFonts w:ascii="Arial" w:hAnsi="Arial" w:cs="Arial"/>
          <w:sz w:val="22"/>
          <w:szCs w:val="22"/>
        </w:rPr>
        <w:t>Nell'indagine AlmaLaurea sulla condizione occupazionale disponibile nel 2025 e riferita ai laureati 2024 a un anno dal titolo, l'80,8% degli occupati giudica la laurea molto efficace/efficace o abbastanza efficace nel lavoro svolto: il 38,5% la considera molto efficace/efficace e il 42,3% abbastanza efficace. Il dato evidenzia un miglioramento rispetto alla rilevazione precedente riportata nella SMA 2025.</w:t>
      </w:r>
    </w:p>
    <w:p w14:paraId="7B2165F2" w14:textId="75751768" w:rsidR="0051089F" w:rsidRPr="0054453E" w:rsidRDefault="0051089F" w:rsidP="00060F9E">
      <w:pPr>
        <w:shd w:val="clear" w:color="auto" w:fill="FFFFFF"/>
        <w:jc w:val="both"/>
        <w:textAlignment w:val="baseline"/>
        <w:rPr>
          <w:rFonts w:ascii="Arial" w:hAnsi="Arial" w:cs="Arial"/>
          <w:color w:val="333333"/>
          <w:sz w:val="22"/>
          <w:szCs w:val="22"/>
          <w:highlight w:val="yellow"/>
        </w:rPr>
      </w:pPr>
    </w:p>
    <w:p w14:paraId="31022DB0" w14:textId="2958C309" w:rsidR="00BA034A" w:rsidRPr="00376E97" w:rsidRDefault="00DA0CDB" w:rsidP="00060F9E">
      <w:pPr>
        <w:shd w:val="clear" w:color="auto" w:fill="FFFFFF"/>
        <w:jc w:val="both"/>
        <w:textAlignment w:val="baseline"/>
        <w:rPr>
          <w:rFonts w:ascii="Arial" w:hAnsi="Arial" w:cs="Arial"/>
          <w:sz w:val="22"/>
          <w:szCs w:val="22"/>
        </w:rPr>
      </w:pPr>
      <w:r w:rsidRPr="00376E97">
        <w:rPr>
          <w:rFonts w:ascii="Arial" w:hAnsi="Arial" w:cs="Arial"/>
          <w:sz w:val="22"/>
          <w:szCs w:val="22"/>
        </w:rPr>
        <w:t>Passando ai dati ANVUR sull'occupabilità, la percentuale di laureati occupati a un anno dal titolo che dichiarano di svolgere un'attività lavorativa o di formazione retribuita (iC06) sale al 36,5% nel 2025, dal 33,8% del 2024 e dal 20,0% del 2023. La media triennale è pari a circa il 30,1%, superiore alle corrispondenti medie dei CdS della stessa classe dello stesso Ateneo (20,3%), della stessa area geografica (22,1%) e nazionali (24,5%).</w:t>
      </w:r>
    </w:p>
    <w:p w14:paraId="7E106794" w14:textId="6758624B" w:rsidR="00DA0CDB" w:rsidRPr="00ED7D97" w:rsidRDefault="00DA0CDB" w:rsidP="00060F9E">
      <w:pPr>
        <w:autoSpaceDE w:val="0"/>
        <w:autoSpaceDN w:val="0"/>
        <w:adjustRightInd w:val="0"/>
        <w:jc w:val="both"/>
        <w:rPr>
          <w:rFonts w:ascii="Arial" w:hAnsi="Arial" w:cs="Arial"/>
          <w:sz w:val="22"/>
          <w:szCs w:val="22"/>
        </w:rPr>
      </w:pPr>
      <w:r w:rsidRPr="00ED7D97">
        <w:rPr>
          <w:rFonts w:ascii="Arial" w:hAnsi="Arial" w:cs="Arial"/>
          <w:sz w:val="22"/>
          <w:szCs w:val="22"/>
        </w:rPr>
        <w:t>La percentuale di laureati occupati a un anno dal titolo che dichiarano di svolgere un'attività lavorativa regolamentata da un contratto o un'attività di formazione retribuita (iC06BIS) è pari al 35,1% nel 2025, rispetto al 30,0% nel 2024 e al 18,5% nel 2023. La media triennale del CdS, pari a circa il 27,9%, è superiore alle medie di confronto di Ateneo (15,1%), area geografica (18,8%) e nazionale (20,9%).</w:t>
      </w:r>
    </w:p>
    <w:p w14:paraId="357DC9EC" w14:textId="44BFC504" w:rsidR="00912665" w:rsidRPr="00C27621" w:rsidRDefault="00DA0CDB" w:rsidP="00060F9E">
      <w:pPr>
        <w:autoSpaceDE w:val="0"/>
        <w:autoSpaceDN w:val="0"/>
        <w:adjustRightInd w:val="0"/>
        <w:jc w:val="both"/>
        <w:rPr>
          <w:rFonts w:ascii="Arial" w:hAnsi="Arial" w:cs="Arial"/>
          <w:sz w:val="22"/>
          <w:szCs w:val="22"/>
        </w:rPr>
      </w:pPr>
      <w:r w:rsidRPr="00C27621">
        <w:rPr>
          <w:rFonts w:ascii="Arial" w:hAnsi="Arial" w:cs="Arial"/>
          <w:sz w:val="22"/>
          <w:szCs w:val="22"/>
        </w:rPr>
        <w:t>La percentuale di laureati a un anno dal titolo non impegnati in formazione non retribuita che dichiarano di svolgere un'attività lavorativa regolamentata da un contratto (iC06TER) cresce al 92,9% nel 2025, dal 70,6% nel 2024 e dal 63,2% nel 2023. Nell'ultimo anno il dato è nettamente superiore alle medie dei CdS della stessa classe dello stesso Ateneo (58,6%), della stessa area geografica (73,3%) e nazionale (77,2%).</w:t>
      </w:r>
    </w:p>
    <w:p w14:paraId="3CBCD716" w14:textId="77777777" w:rsidR="00060F9E" w:rsidRPr="0054453E" w:rsidRDefault="00060F9E" w:rsidP="00060F9E">
      <w:pPr>
        <w:autoSpaceDE w:val="0"/>
        <w:autoSpaceDN w:val="0"/>
        <w:adjustRightInd w:val="0"/>
        <w:jc w:val="both"/>
        <w:rPr>
          <w:rFonts w:ascii="Arial" w:hAnsi="Arial" w:cs="Arial"/>
          <w:b/>
          <w:bCs/>
          <w:color w:val="FF0000"/>
          <w:sz w:val="22"/>
          <w:szCs w:val="22"/>
          <w:highlight w:val="yellow"/>
        </w:rPr>
      </w:pPr>
    </w:p>
    <w:p w14:paraId="71DF247E" w14:textId="5501AFA9" w:rsidR="004A113D" w:rsidRPr="009F653D" w:rsidRDefault="004A113D" w:rsidP="00060F9E">
      <w:pPr>
        <w:autoSpaceDE w:val="0"/>
        <w:autoSpaceDN w:val="0"/>
        <w:adjustRightInd w:val="0"/>
        <w:jc w:val="both"/>
        <w:rPr>
          <w:rFonts w:ascii="Arial" w:hAnsi="Arial" w:cs="Arial"/>
          <w:b/>
          <w:bCs/>
          <w:sz w:val="22"/>
          <w:szCs w:val="22"/>
        </w:rPr>
      </w:pPr>
      <w:r w:rsidRPr="009F653D">
        <w:rPr>
          <w:rFonts w:ascii="Arial" w:hAnsi="Arial" w:cs="Arial"/>
          <w:b/>
          <w:bCs/>
          <w:sz w:val="22"/>
          <w:szCs w:val="22"/>
        </w:rPr>
        <w:t>QUALIFICAZIONE DEL CORPO DOCENTE</w:t>
      </w:r>
      <w:r w:rsidR="00060F9E" w:rsidRPr="009F653D">
        <w:rPr>
          <w:rFonts w:ascii="Arial" w:hAnsi="Arial" w:cs="Arial"/>
          <w:b/>
          <w:bCs/>
          <w:sz w:val="22"/>
          <w:szCs w:val="22"/>
        </w:rPr>
        <w:t xml:space="preserve"> E SOSTENIBILITA’</w:t>
      </w:r>
    </w:p>
    <w:p w14:paraId="7DA65ECA" w14:textId="2724A115" w:rsidR="00902F64" w:rsidRPr="009F653D" w:rsidRDefault="00902F64" w:rsidP="00902F64">
      <w:pPr>
        <w:jc w:val="both"/>
        <w:rPr>
          <w:rFonts w:ascii="Arial" w:hAnsi="Arial" w:cs="Arial"/>
          <w:sz w:val="22"/>
          <w:szCs w:val="22"/>
          <w:shd w:val="clear" w:color="auto" w:fill="FFFFFF"/>
        </w:rPr>
      </w:pPr>
      <w:r w:rsidRPr="009F653D">
        <w:rPr>
          <w:rFonts w:ascii="Arial" w:hAnsi="Arial" w:cs="Arial"/>
          <w:sz w:val="22"/>
          <w:szCs w:val="22"/>
          <w:shd w:val="clear" w:color="auto" w:fill="FFFFFF"/>
        </w:rPr>
        <w:t>Nel triennio 2023-2025 il rapporto studenti regolari/docenti di ruolo (iC05) passa da 12,2 nel 2023 a 12,2 nel 2024 e a 11,2 nel 2025. La media triennale del CdS è pari a circa 11,9, sostanzialmente comparabile con i valori medi dei CdS della stessa classe dello stesso Ateneo (11,5), della stessa area geografica (12,4) e nazionali (11,7). La diminuzione nell'ultimo anno indica un miglioramento del rapporto studenti/docenti.</w:t>
      </w:r>
    </w:p>
    <w:p w14:paraId="102AF27C" w14:textId="4D1637F8" w:rsidR="00902F64" w:rsidRPr="001F4D48" w:rsidRDefault="009F653D" w:rsidP="00902F64">
      <w:pPr>
        <w:jc w:val="both"/>
        <w:rPr>
          <w:rFonts w:ascii="Arial" w:hAnsi="Arial" w:cs="Arial"/>
          <w:sz w:val="22"/>
          <w:szCs w:val="22"/>
          <w:shd w:val="clear" w:color="auto" w:fill="FFFFFF"/>
        </w:rPr>
      </w:pPr>
      <w:r w:rsidRPr="001F4D48">
        <w:rPr>
          <w:rFonts w:ascii="Arial" w:hAnsi="Arial" w:cs="Arial"/>
          <w:sz w:val="22"/>
          <w:szCs w:val="22"/>
          <w:shd w:val="clear" w:color="auto" w:fill="FFFFFF"/>
        </w:rPr>
        <w:t>La percentuale dei docenti di riferimento appartenenti a settori scientifico-disciplinari di base o caratterizzanti (iC08) cresce all'93,1% nel 2025, rispetto al 90,6% nel 2024 e all'85,3% nel 2023. Il dato 2025 è superiore alla media dei CdS della stessa classe dello stesso Ateneo (90,6%) e resta leggermente inferiore alle medie della stessa area geografica (94,7%) e nazionale (96,3%); rimane comunque ampiamente superiore alla soglia del 66,7%.</w:t>
      </w:r>
    </w:p>
    <w:p w14:paraId="4240214F" w14:textId="25098CF8" w:rsidR="00AD7D0A" w:rsidRPr="001F4D48" w:rsidRDefault="00AD7D0A" w:rsidP="00060F9E">
      <w:pPr>
        <w:jc w:val="both"/>
        <w:rPr>
          <w:rFonts w:ascii="Arial" w:hAnsi="Arial" w:cs="Arial"/>
          <w:sz w:val="22"/>
          <w:szCs w:val="22"/>
          <w:shd w:val="clear" w:color="auto" w:fill="FFFFFF"/>
        </w:rPr>
      </w:pPr>
      <w:r w:rsidRPr="001F4D48">
        <w:rPr>
          <w:rFonts w:ascii="Arial" w:hAnsi="Arial" w:cs="Arial"/>
          <w:sz w:val="22"/>
          <w:szCs w:val="22"/>
          <w:shd w:val="clear" w:color="auto" w:fill="FFFFFF"/>
        </w:rPr>
        <w:t>La quota di ore di docenza erogata da docenti assunti a tempo indeterminato (iC19) è pari all'83,9% nel 2025, in aumento rispetto al 79,2% del 2024 e al 79,6% del 2023. La media triennale del CdS è pari a circa l'80,9%, inferiore alla media della stessa classe nello stesso Ateneo (84,1%), ma superiore alle medie della stessa area geografica (77,4%) e nazionale (72,9%).</w:t>
      </w:r>
    </w:p>
    <w:p w14:paraId="764A0702" w14:textId="4D15D824" w:rsidR="00686440" w:rsidRPr="00877AE3" w:rsidRDefault="00686440" w:rsidP="00686440">
      <w:pPr>
        <w:autoSpaceDE w:val="0"/>
        <w:autoSpaceDN w:val="0"/>
        <w:adjustRightInd w:val="0"/>
        <w:jc w:val="both"/>
        <w:rPr>
          <w:rFonts w:ascii="Arial" w:hAnsi="Arial" w:cs="Arial"/>
          <w:sz w:val="22"/>
          <w:szCs w:val="22"/>
          <w:shd w:val="clear" w:color="auto" w:fill="FFFFFF"/>
        </w:rPr>
      </w:pPr>
      <w:r w:rsidRPr="00877AE3">
        <w:rPr>
          <w:rFonts w:ascii="Arial" w:hAnsi="Arial" w:cs="Arial"/>
          <w:sz w:val="22"/>
          <w:szCs w:val="22"/>
          <w:shd w:val="clear" w:color="auto" w:fill="FFFFFF"/>
        </w:rPr>
        <w:t>La percentuale di studenti che proseguono la carriera nel sistema universitario al secondo anno (iC21) è in crescita nel triennio disponibile: 80,6% nel 2022, 82,6% nel 2023 e 88,4% nel 2024. Nell'ultimo anno il CdS supera la media dei CdS della stessa classe dello stesso Ateneo (81,0%) e della stessa area geografica (86,7%) ed è sostanzialmente allineato alla media nazionale (88,0%).</w:t>
      </w:r>
    </w:p>
    <w:p w14:paraId="10FBC8F2" w14:textId="235DA8D2" w:rsidR="00686440" w:rsidRPr="009071AE" w:rsidRDefault="00AD5B8A" w:rsidP="00686440">
      <w:pPr>
        <w:jc w:val="both"/>
        <w:rPr>
          <w:rFonts w:ascii="Arial" w:hAnsi="Arial" w:cs="Arial"/>
          <w:color w:val="FF0000"/>
          <w:sz w:val="22"/>
          <w:szCs w:val="22"/>
          <w:shd w:val="clear" w:color="auto" w:fill="FFFFFF"/>
        </w:rPr>
      </w:pPr>
      <w:r w:rsidRPr="009071AE">
        <w:rPr>
          <w:rFonts w:ascii="Arial" w:hAnsi="Arial" w:cs="Arial"/>
          <w:sz w:val="22"/>
          <w:szCs w:val="22"/>
          <w:shd w:val="clear" w:color="auto" w:fill="FFFFFF"/>
        </w:rPr>
        <w:t>La percentuale di immatricolati che si laureano nel CdS entro la durata normale (iC22) è pari all'8,4% nel 2024, in diminuzione rispetto al 12,7% del 2023 e al 13,1% del 2022. Il dato resta leggermente superiore alla media dei CdS della stessa classe dello stesso Ateneo (7,2%), ma è nettamente inferiore alla media della stessa area geografica (22,5%) e nazionale (32,2%).</w:t>
      </w:r>
    </w:p>
    <w:p w14:paraId="115D44EC" w14:textId="32C7C80B" w:rsidR="003C10C9" w:rsidRPr="00396B87" w:rsidRDefault="003C10C9" w:rsidP="00686440">
      <w:pPr>
        <w:jc w:val="both"/>
        <w:rPr>
          <w:rFonts w:ascii="Arial" w:hAnsi="Arial" w:cs="Arial"/>
          <w:sz w:val="22"/>
          <w:szCs w:val="22"/>
          <w:shd w:val="clear" w:color="auto" w:fill="FFFFFF"/>
        </w:rPr>
      </w:pPr>
      <w:r w:rsidRPr="00396B87">
        <w:rPr>
          <w:rFonts w:ascii="Arial" w:hAnsi="Arial" w:cs="Arial"/>
          <w:sz w:val="22"/>
          <w:szCs w:val="22"/>
          <w:shd w:val="clear" w:color="auto" w:fill="FFFFFF"/>
        </w:rPr>
        <w:t>La percentuale di immatricolati che proseguono la carriera al secondo anno in un differente CdS dell'Ateneo (iC23) è pari al 10,8% nel 2024, dopo il 9,3% del 2023 e il 12,7% del 2022. Il valore più recente è superiore alle medie dei CdS della stessa classe dello stesso Ateneo (7,1%), della stessa area geografica (7,2%) e nazionali (5,6%), confermando la necessità di continuare a monitorare i trasferimenti interni dopo il primo anno.</w:t>
      </w:r>
    </w:p>
    <w:p w14:paraId="1C553825" w14:textId="3598639D" w:rsidR="00F06A6A" w:rsidRPr="000768A0" w:rsidRDefault="00F06A6A" w:rsidP="00F06A6A">
      <w:pPr>
        <w:jc w:val="both"/>
        <w:rPr>
          <w:rFonts w:ascii="Arial" w:hAnsi="Arial" w:cs="Arial"/>
          <w:sz w:val="22"/>
          <w:szCs w:val="22"/>
          <w:shd w:val="clear" w:color="auto" w:fill="FFFFFF"/>
        </w:rPr>
      </w:pPr>
      <w:r w:rsidRPr="000768A0">
        <w:rPr>
          <w:rFonts w:ascii="Arial" w:hAnsi="Arial" w:cs="Arial"/>
          <w:sz w:val="22"/>
          <w:szCs w:val="22"/>
          <w:shd w:val="clear" w:color="auto" w:fill="FFFFFF"/>
        </w:rPr>
        <w:t xml:space="preserve">La percentuale di abbandoni del CdS dopo N+1 anni (iC24) aumenta dal 48,8% nel 2022 al 51,1% nel 2023 e al 54,1% nel 2024. Il valore più recente è inferiore alla media dei CdS della stessa classe </w:t>
      </w:r>
      <w:r w:rsidRPr="000768A0">
        <w:rPr>
          <w:rFonts w:ascii="Arial" w:hAnsi="Arial" w:cs="Arial"/>
          <w:sz w:val="22"/>
          <w:szCs w:val="22"/>
          <w:shd w:val="clear" w:color="auto" w:fill="FFFFFF"/>
        </w:rPr>
        <w:lastRenderedPageBreak/>
        <w:t>dello stesso Ateneo (57,7%), ma superiore alla media della stessa area geografica (43,3%) e nazionale (36,8%). L'andamento costituisce uno degli aspetti principali da monitorare nelle azioni di miglioramento delle carriere.</w:t>
      </w:r>
    </w:p>
    <w:p w14:paraId="314AB004" w14:textId="29F41AF9" w:rsidR="00AD7D0A" w:rsidRPr="000F1F64" w:rsidRDefault="00AD7D0A" w:rsidP="00060F9E">
      <w:pPr>
        <w:jc w:val="both"/>
        <w:rPr>
          <w:rFonts w:ascii="Arial" w:hAnsi="Arial" w:cs="Arial"/>
          <w:sz w:val="22"/>
          <w:szCs w:val="22"/>
          <w:shd w:val="clear" w:color="auto" w:fill="FFFFFF"/>
        </w:rPr>
      </w:pPr>
      <w:r w:rsidRPr="000F1F64">
        <w:rPr>
          <w:rFonts w:ascii="Arial" w:hAnsi="Arial" w:cs="Arial"/>
          <w:sz w:val="22"/>
          <w:szCs w:val="22"/>
          <w:shd w:val="clear" w:color="auto" w:fill="FFFFFF"/>
        </w:rPr>
        <w:t>Il rapporto studenti iscritti/docenti complessivo, pesato per le ore di docenza (iC27), mostra un miglioramento nel triennio 2023-2025, passando da 27,2 a 26,2 e quindi a 24,0. La media triennale è pari a circa 25,8, inferiore alle medie dei CdS della stessa classe dello stesso Ateneo (27,7), della stessa area geografica (32,0) e nazionali (34,5).</w:t>
      </w:r>
    </w:p>
    <w:p w14:paraId="194F4B8B" w14:textId="5A648714" w:rsidR="004A113D" w:rsidRPr="002D13DE" w:rsidRDefault="00AD7D0A" w:rsidP="00060F9E">
      <w:pPr>
        <w:jc w:val="both"/>
        <w:rPr>
          <w:rFonts w:ascii="Arial" w:hAnsi="Arial" w:cs="Arial"/>
          <w:sz w:val="22"/>
          <w:szCs w:val="22"/>
          <w:shd w:val="clear" w:color="auto" w:fill="FFFFFF"/>
        </w:rPr>
      </w:pPr>
      <w:r w:rsidRPr="002D13DE">
        <w:rPr>
          <w:rFonts w:ascii="Arial" w:hAnsi="Arial" w:cs="Arial"/>
          <w:sz w:val="22"/>
          <w:szCs w:val="22"/>
          <w:shd w:val="clear" w:color="auto" w:fill="FFFFFF"/>
        </w:rPr>
        <w:t>Anche il rapporto studenti iscritti al primo anno/docenti degli insegnamenti del primo anno, pesato per le ore di docenza (iC28), diminuisce da 62,4 nel 2023 a 52,2 nel 2024 e a 42,7 nel 2025. La riduzione è positiva, ma il valore resta ancora superiore alle medie dei CdS della stessa classe dello stesso Ateneo (27,4 nel 2025), della stessa area geografica (31,5) e nazionali (35,7).</w:t>
      </w:r>
    </w:p>
    <w:p w14:paraId="1F9E73CA" w14:textId="77777777" w:rsidR="00AD7D0A" w:rsidRPr="0054453E" w:rsidRDefault="00AD7D0A" w:rsidP="00060F9E">
      <w:pPr>
        <w:autoSpaceDE w:val="0"/>
        <w:autoSpaceDN w:val="0"/>
        <w:adjustRightInd w:val="0"/>
        <w:jc w:val="both"/>
        <w:rPr>
          <w:rFonts w:ascii="Arial" w:hAnsi="Arial" w:cs="Arial"/>
          <w:sz w:val="22"/>
          <w:szCs w:val="22"/>
          <w:highlight w:val="yellow"/>
        </w:rPr>
      </w:pPr>
    </w:p>
    <w:p w14:paraId="2B6B6A9E" w14:textId="21AE757A" w:rsidR="00060F9E" w:rsidRPr="005C76D2" w:rsidRDefault="0085720D" w:rsidP="00060F9E">
      <w:pPr>
        <w:autoSpaceDE w:val="0"/>
        <w:autoSpaceDN w:val="0"/>
        <w:adjustRightInd w:val="0"/>
        <w:jc w:val="both"/>
        <w:rPr>
          <w:rFonts w:ascii="Arial" w:hAnsi="Arial" w:cs="Arial"/>
          <w:b/>
          <w:bCs/>
          <w:sz w:val="22"/>
          <w:szCs w:val="22"/>
        </w:rPr>
      </w:pPr>
      <w:r w:rsidRPr="005C76D2">
        <w:rPr>
          <w:rFonts w:ascii="Arial" w:hAnsi="Arial" w:cs="Arial"/>
          <w:b/>
          <w:bCs/>
          <w:sz w:val="22"/>
          <w:szCs w:val="22"/>
        </w:rPr>
        <w:t xml:space="preserve">GRUPPO B – INDICATORI </w:t>
      </w:r>
      <w:r w:rsidR="00060F9E" w:rsidRPr="005C76D2">
        <w:rPr>
          <w:rFonts w:ascii="Arial" w:hAnsi="Arial" w:cs="Arial"/>
          <w:b/>
          <w:bCs/>
          <w:sz w:val="22"/>
          <w:szCs w:val="22"/>
        </w:rPr>
        <w:t>INTERNAZIONALIZZAZIONE</w:t>
      </w:r>
      <w:r w:rsidRPr="005C76D2">
        <w:rPr>
          <w:rFonts w:ascii="Arial" w:hAnsi="Arial" w:cs="Arial"/>
          <w:b/>
          <w:bCs/>
          <w:sz w:val="22"/>
          <w:szCs w:val="22"/>
        </w:rPr>
        <w:t xml:space="preserve"> (DM987/2017 e DM6/2019, ALLEGATO E)</w:t>
      </w:r>
    </w:p>
    <w:p w14:paraId="13DDE03B" w14:textId="3F131CF0" w:rsidR="00E42911" w:rsidRPr="005C76D2" w:rsidRDefault="00E42911" w:rsidP="00E42911">
      <w:pPr>
        <w:autoSpaceDE w:val="0"/>
        <w:autoSpaceDN w:val="0"/>
        <w:adjustRightInd w:val="0"/>
        <w:jc w:val="both"/>
        <w:rPr>
          <w:rFonts w:ascii="Arial" w:hAnsi="Arial" w:cs="Arial"/>
          <w:sz w:val="22"/>
          <w:szCs w:val="22"/>
          <w:shd w:val="clear" w:color="auto" w:fill="FFFFFF"/>
        </w:rPr>
      </w:pPr>
      <w:r w:rsidRPr="005C76D2">
        <w:rPr>
          <w:rFonts w:ascii="Arial" w:hAnsi="Arial" w:cs="Arial"/>
          <w:sz w:val="22"/>
          <w:szCs w:val="22"/>
          <w:shd w:val="clear" w:color="auto" w:fill="FFFFFF"/>
        </w:rPr>
        <w:t>Per l'indicatore iC10, relativo alla percentuale di CFU conseguiti all'estero dagli studenti regolari sul totale dei CFU conseguiti entro la durata normale del corso, il triennio disponibile mostra valori pari a 9,3‰ nel 2022, 12,4‰ nel 2023 e 7,9‰ nel 2024. Pur registrando una riduzione nell'ultimo anno, il valore 2024 resta superiore alla media dei CdS della stessa classe dello stesso Ateneo (6,5‰), della stessa area geografica (4,4‰) e, di poco, alla media nazionale (7,5‰).</w:t>
      </w:r>
    </w:p>
    <w:p w14:paraId="41EFF1A7" w14:textId="2958D67B" w:rsidR="00E42911" w:rsidRPr="00DB0732" w:rsidRDefault="00E42911" w:rsidP="00E42911">
      <w:pPr>
        <w:autoSpaceDE w:val="0"/>
        <w:autoSpaceDN w:val="0"/>
        <w:adjustRightInd w:val="0"/>
        <w:jc w:val="both"/>
        <w:rPr>
          <w:rFonts w:ascii="Arial" w:hAnsi="Arial" w:cs="Arial"/>
          <w:sz w:val="22"/>
          <w:szCs w:val="22"/>
          <w:shd w:val="clear" w:color="auto" w:fill="FFFFFF"/>
        </w:rPr>
      </w:pPr>
      <w:r w:rsidRPr="00DB0732">
        <w:rPr>
          <w:rFonts w:ascii="Arial" w:hAnsi="Arial" w:cs="Arial"/>
          <w:sz w:val="22"/>
          <w:szCs w:val="22"/>
          <w:shd w:val="clear" w:color="auto" w:fill="FFFFFF"/>
        </w:rPr>
        <w:t>L'indicatore iC11, relativo ai laureati entro la durata normale che hanno acquisito almeno 12 CFU all'estero, evidenzia un netto miglioramento: 68,2‰ nel 2023, 121,2‰ nel 2024 e 161,3‰ nel 2025, pari al 16,1% nell'ultima rilevazione. Il dato 2025 è nettamente superiore alle medie della stessa area geografica (32,0‰) e nazionale (58,6‰); la media dei CdS della stessa classe nello stesso Ateneo è pari a 0,0‰ nell'ultima rilevazione.</w:t>
      </w:r>
    </w:p>
    <w:p w14:paraId="52E5FB3A" w14:textId="505E32F6" w:rsidR="00060F9E" w:rsidRPr="007D5AE9" w:rsidRDefault="00AF547E" w:rsidP="00060F9E">
      <w:pPr>
        <w:autoSpaceDE w:val="0"/>
        <w:autoSpaceDN w:val="0"/>
        <w:adjustRightInd w:val="0"/>
        <w:jc w:val="both"/>
        <w:rPr>
          <w:rFonts w:ascii="Arial" w:hAnsi="Arial" w:cs="Arial"/>
          <w:sz w:val="22"/>
          <w:szCs w:val="22"/>
          <w:shd w:val="clear" w:color="auto" w:fill="FFFFFF"/>
        </w:rPr>
      </w:pPr>
      <w:r w:rsidRPr="007D5AE9">
        <w:rPr>
          <w:rFonts w:ascii="Arial" w:hAnsi="Arial" w:cs="Arial"/>
          <w:sz w:val="22"/>
          <w:szCs w:val="22"/>
          <w:shd w:val="clear" w:color="auto" w:fill="FFFFFF"/>
        </w:rPr>
        <w:t>Per l'indicatore iC12, relativo agli studenti iscritti al primo anno che hanno conseguito il precedente titolo di studio all'estero, si osserva invece una diminuzione: 10,4‰ nel 2023, 4,1‰ nel 2024 e 0,0‰ nel 2025. Il valore più recente è nettamente inferiore alle medie dei CdS della stessa classe dello stesso Ateneo (268,7‰), della stessa area geografica (113,9‰) e nazionali (58,7‰), segnalando una specifica area di attenzione per l'attrattività internazionale in ingresso.</w:t>
      </w:r>
    </w:p>
    <w:p w14:paraId="3C6B7BE0" w14:textId="5D875860" w:rsidR="00060F9E" w:rsidRPr="00271373" w:rsidRDefault="00060F9E" w:rsidP="00060F9E">
      <w:pPr>
        <w:autoSpaceDE w:val="0"/>
        <w:autoSpaceDN w:val="0"/>
        <w:adjustRightInd w:val="0"/>
        <w:jc w:val="both"/>
        <w:rPr>
          <w:rFonts w:ascii="Arial" w:hAnsi="Arial" w:cs="Arial"/>
          <w:color w:val="333333"/>
          <w:sz w:val="22"/>
          <w:szCs w:val="22"/>
          <w:shd w:val="clear" w:color="auto" w:fill="FFFFFF"/>
        </w:rPr>
      </w:pPr>
      <w:r w:rsidRPr="001E4325">
        <w:rPr>
          <w:rFonts w:ascii="Arial" w:hAnsi="Arial" w:cs="Arial"/>
          <w:color w:val="333333"/>
          <w:sz w:val="22"/>
          <w:szCs w:val="22"/>
          <w:shd w:val="clear" w:color="auto" w:fill="FFFFFF"/>
        </w:rPr>
        <w:t>I dati AlmaLaurea sui laureati 2025 confermano una crescita delle esperienze internazionali: il 15,4% dichiara di aver svolto periodi di studio all'estero durante il corso, rispetto al 9,5% dei laureati 2024 e al 4,8% dei laureati 2023. Il 12,1% dei laureati 2025 ha svolto periodi di studio all'estero riconosciuti dal corso di studio.</w:t>
      </w:r>
    </w:p>
    <w:p w14:paraId="5A9BF0A2" w14:textId="77777777" w:rsidR="00060F9E" w:rsidRPr="00401AAA" w:rsidRDefault="00060F9E" w:rsidP="00060F9E">
      <w:pPr>
        <w:jc w:val="both"/>
        <w:rPr>
          <w:rFonts w:ascii="Arial" w:hAnsi="Arial" w:cs="Arial"/>
          <w:sz w:val="22"/>
          <w:szCs w:val="22"/>
          <w:highlight w:val="yellow"/>
        </w:rPr>
      </w:pPr>
    </w:p>
    <w:p w14:paraId="43C9F0AE" w14:textId="6CDE6EF8" w:rsidR="00AD7D0A" w:rsidRPr="00A23170" w:rsidRDefault="00F06763" w:rsidP="00060F9E">
      <w:pPr>
        <w:jc w:val="both"/>
        <w:rPr>
          <w:rFonts w:ascii="Arial" w:hAnsi="Arial" w:cs="Arial"/>
          <w:b/>
          <w:bCs/>
          <w:sz w:val="22"/>
          <w:szCs w:val="22"/>
        </w:rPr>
      </w:pPr>
      <w:r w:rsidRPr="00A23170">
        <w:rPr>
          <w:rFonts w:ascii="Arial" w:hAnsi="Arial" w:cs="Arial"/>
          <w:b/>
          <w:bCs/>
          <w:sz w:val="22"/>
          <w:szCs w:val="22"/>
        </w:rPr>
        <w:t>CONCLUSIONI</w:t>
      </w:r>
    </w:p>
    <w:p w14:paraId="393EBFE2" w14:textId="56299439" w:rsidR="00A8383D" w:rsidRPr="00A23170" w:rsidRDefault="00AA658D" w:rsidP="00060F9E">
      <w:pPr>
        <w:jc w:val="both"/>
        <w:rPr>
          <w:rFonts w:ascii="Arial" w:hAnsi="Arial" w:cs="Arial"/>
          <w:sz w:val="22"/>
          <w:szCs w:val="22"/>
        </w:rPr>
      </w:pPr>
      <w:r w:rsidRPr="00A23170">
        <w:rPr>
          <w:rFonts w:ascii="Arial" w:hAnsi="Arial" w:cs="Arial"/>
          <w:sz w:val="22"/>
          <w:szCs w:val="22"/>
        </w:rPr>
        <w:t>In conclusione, il CdS continua a presentare dimensioni e livelli di iscrizione superiori ai riferimenti della stessa classe, ma nel 2025/26 si osserva una marcata riduzione degli avvii di carriera e degli immatricolati, insieme a un forte calo dell'attrattività da altre regioni (iC03). Sul versante delle carriere emergono segnali positivi per l'acquisizione dei CFU al primo anno e per la prosecuzione al secondo anno, mentre restano da migliorare la quota di laureati entro la durata normale e il tasso di abbandono dopo N+1 anni. La soddisfazione dei laureandi rimane elevata, pur con una lieve flessione, mentre gli indicatori occupazionali mostrano un netto miglioramento nell'ultima rilevazione. La qualificazione del corpo docente si conferma buona e i rapporti studenti/docenti migliorano, anche se il carico relativo al primo anno resta superiore ai benchmark. L'internazionalizzazione presenta un quadro articolato: crescono sensibilmente i laureati con almeno 12 CFU all'estero e le esperienze internazionali rilevate da AlmaLaurea, mentre diminuiscono i CFU all'estero nell'ultima annualità disponibile e si azzera iC12. Le priorità di monitoraggio riguardano pertanto attrattività, regolarità delle carriere e consolidamento delle azioni di internazionalizzazione.</w:t>
      </w:r>
    </w:p>
    <w:p w14:paraId="1B97843D" w14:textId="77777777" w:rsidR="00AA658D" w:rsidRPr="001C2DDF" w:rsidRDefault="00AA658D" w:rsidP="00060F9E">
      <w:pPr>
        <w:jc w:val="both"/>
        <w:rPr>
          <w:rFonts w:ascii="Arial" w:hAnsi="Arial" w:cs="Arial"/>
          <w:color w:val="000000"/>
          <w:sz w:val="22"/>
          <w:szCs w:val="22"/>
        </w:rPr>
      </w:pPr>
    </w:p>
    <w:p w14:paraId="71736A81" w14:textId="0EE3B5EC" w:rsidR="00A8383D" w:rsidRPr="001C2DDF" w:rsidRDefault="00A8383D" w:rsidP="00060F9E">
      <w:pPr>
        <w:jc w:val="both"/>
        <w:rPr>
          <w:rFonts w:ascii="Arial" w:hAnsi="Arial" w:cs="Arial"/>
          <w:b/>
          <w:bCs/>
          <w:sz w:val="22"/>
          <w:szCs w:val="22"/>
        </w:rPr>
      </w:pPr>
      <w:r w:rsidRPr="001C2DDF">
        <w:rPr>
          <w:rFonts w:ascii="Arial" w:hAnsi="Arial" w:cs="Arial"/>
          <w:b/>
          <w:bCs/>
          <w:sz w:val="22"/>
          <w:szCs w:val="22"/>
        </w:rPr>
        <w:t>MONITORAGGIO DE</w:t>
      </w:r>
      <w:r w:rsidR="00D9142E" w:rsidRPr="001C2DDF">
        <w:rPr>
          <w:rFonts w:ascii="Arial" w:hAnsi="Arial" w:cs="Arial"/>
          <w:b/>
          <w:bCs/>
          <w:sz w:val="22"/>
          <w:szCs w:val="22"/>
        </w:rPr>
        <w:t>LLE INIZIATIVE DI MIGLIORAMENTO PRECEDENTI</w:t>
      </w:r>
      <w:r w:rsidR="00A309A4" w:rsidRPr="001C2DDF">
        <w:rPr>
          <w:rFonts w:ascii="Arial" w:hAnsi="Arial" w:cs="Arial"/>
          <w:b/>
          <w:bCs/>
          <w:sz w:val="22"/>
          <w:szCs w:val="22"/>
        </w:rPr>
        <w:t xml:space="preserve"> E VALUTAZIONE DI NUOVE INIZIATIVE</w:t>
      </w:r>
    </w:p>
    <w:p w14:paraId="50C6E398" w14:textId="79161548" w:rsidR="00EF1885" w:rsidRPr="001C2DDF" w:rsidRDefault="00EF1885" w:rsidP="00060F9E">
      <w:pPr>
        <w:jc w:val="both"/>
        <w:rPr>
          <w:rFonts w:ascii="Arial" w:hAnsi="Arial" w:cs="Arial"/>
          <w:b/>
          <w:bCs/>
          <w:sz w:val="22"/>
          <w:szCs w:val="22"/>
        </w:rPr>
      </w:pPr>
    </w:p>
    <w:p w14:paraId="5441ABF8" w14:textId="551541F4" w:rsidR="00DB10B6" w:rsidRPr="001C2DDF" w:rsidRDefault="00DB10B6" w:rsidP="00060F9E">
      <w:pPr>
        <w:jc w:val="both"/>
        <w:rPr>
          <w:rFonts w:ascii="Arial" w:hAnsi="Arial" w:cs="Arial"/>
          <w:b/>
          <w:color w:val="000000"/>
          <w:sz w:val="22"/>
          <w:szCs w:val="22"/>
        </w:rPr>
      </w:pPr>
      <w:r w:rsidRPr="001C2DDF">
        <w:rPr>
          <w:rFonts w:ascii="Arial" w:hAnsi="Arial" w:cs="Arial"/>
          <w:b/>
          <w:color w:val="000000"/>
          <w:sz w:val="22"/>
          <w:szCs w:val="22"/>
        </w:rPr>
        <w:t>Obiettivo n.1: (Obiettivo n.1 SMA 2025)</w:t>
      </w:r>
    </w:p>
    <w:p w14:paraId="766F2960" w14:textId="77777777" w:rsidR="00F25E6B" w:rsidRPr="001C2DDF" w:rsidRDefault="00F25E6B" w:rsidP="00060F9E">
      <w:pPr>
        <w:jc w:val="both"/>
        <w:rPr>
          <w:rFonts w:ascii="Arial" w:hAnsi="Arial" w:cs="Arial"/>
          <w:color w:val="000000"/>
          <w:sz w:val="22"/>
          <w:szCs w:val="22"/>
        </w:rPr>
      </w:pPr>
      <w:r w:rsidRPr="001C2DDF">
        <w:rPr>
          <w:rFonts w:ascii="Arial" w:hAnsi="Arial" w:cs="Arial"/>
          <w:color w:val="000000"/>
          <w:sz w:val="22"/>
          <w:szCs w:val="22"/>
        </w:rPr>
        <w:t xml:space="preserve">Migliorare la mobilità internazionale degli studenti del </w:t>
      </w:r>
      <w:proofErr w:type="spellStart"/>
      <w:r w:rsidRPr="001C2DDF">
        <w:rPr>
          <w:rFonts w:ascii="Arial" w:hAnsi="Arial" w:cs="Arial"/>
          <w:color w:val="000000"/>
          <w:sz w:val="22"/>
          <w:szCs w:val="22"/>
        </w:rPr>
        <w:t>CdL</w:t>
      </w:r>
      <w:proofErr w:type="spellEnd"/>
      <w:r w:rsidRPr="001C2DDF">
        <w:rPr>
          <w:rFonts w:ascii="Arial" w:hAnsi="Arial" w:cs="Arial"/>
          <w:color w:val="000000"/>
          <w:sz w:val="22"/>
          <w:szCs w:val="22"/>
        </w:rPr>
        <w:t xml:space="preserve"> </w:t>
      </w:r>
      <w:r w:rsidRPr="001C2DDF">
        <w:rPr>
          <w:rFonts w:ascii="Arial" w:hAnsi="Arial" w:cs="Arial"/>
          <w:sz w:val="22"/>
          <w:szCs w:val="22"/>
        </w:rPr>
        <w:t>(indicatori iC10 e iC11)</w:t>
      </w:r>
      <w:r w:rsidRPr="001C2DDF">
        <w:rPr>
          <w:rFonts w:ascii="Arial" w:hAnsi="Arial" w:cs="Arial"/>
          <w:color w:val="000000"/>
          <w:sz w:val="22"/>
          <w:szCs w:val="22"/>
        </w:rPr>
        <w:t>.</w:t>
      </w:r>
    </w:p>
    <w:p w14:paraId="256D18D5" w14:textId="77777777" w:rsidR="00624B65"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Azioni di miglioramento intraprese:</w:t>
      </w:r>
    </w:p>
    <w:p w14:paraId="26DA0020" w14:textId="61D1E2D1" w:rsidR="00F25E6B" w:rsidRPr="001C2DDF" w:rsidRDefault="00FA0DE4" w:rsidP="00060F9E">
      <w:pPr>
        <w:jc w:val="both"/>
        <w:rPr>
          <w:rFonts w:ascii="Arial" w:hAnsi="Arial" w:cs="Arial"/>
          <w:color w:val="000000"/>
          <w:sz w:val="22"/>
          <w:szCs w:val="22"/>
        </w:rPr>
      </w:pPr>
      <w:r w:rsidRPr="001C2DDF">
        <w:rPr>
          <w:rFonts w:ascii="Arial" w:hAnsi="Arial" w:cs="Arial"/>
          <w:bCs/>
          <w:color w:val="000000"/>
          <w:sz w:val="22"/>
          <w:szCs w:val="22"/>
        </w:rPr>
        <w:lastRenderedPageBreak/>
        <w:t>Sono state consolidate e perfezionate</w:t>
      </w:r>
      <w:r w:rsidR="00624B65" w:rsidRPr="001C2DDF">
        <w:rPr>
          <w:rFonts w:ascii="Arial" w:hAnsi="Arial" w:cs="Arial"/>
          <w:bCs/>
          <w:color w:val="000000"/>
          <w:sz w:val="22"/>
          <w:szCs w:val="22"/>
        </w:rPr>
        <w:t xml:space="preserve"> alcune azioni importanti al fine di migliorare la mobilità internaziona</w:t>
      </w:r>
      <w:r w:rsidR="00240052" w:rsidRPr="001C2DDF">
        <w:rPr>
          <w:rFonts w:ascii="Arial" w:hAnsi="Arial" w:cs="Arial"/>
          <w:bCs/>
          <w:color w:val="000000"/>
          <w:sz w:val="22"/>
          <w:szCs w:val="22"/>
        </w:rPr>
        <w:t>le</w:t>
      </w:r>
      <w:r w:rsidR="00624B65" w:rsidRPr="001C2DDF">
        <w:rPr>
          <w:rFonts w:ascii="Arial" w:hAnsi="Arial" w:cs="Arial"/>
          <w:bCs/>
          <w:color w:val="000000"/>
          <w:sz w:val="22"/>
          <w:szCs w:val="22"/>
        </w:rPr>
        <w:t xml:space="preserve"> degli studenti del </w:t>
      </w:r>
      <w:proofErr w:type="spellStart"/>
      <w:r w:rsidR="00624B65" w:rsidRPr="001C2DDF">
        <w:rPr>
          <w:rFonts w:ascii="Arial" w:hAnsi="Arial" w:cs="Arial"/>
          <w:bCs/>
          <w:color w:val="000000"/>
          <w:sz w:val="22"/>
          <w:szCs w:val="22"/>
        </w:rPr>
        <w:t>CdL</w:t>
      </w:r>
      <w:proofErr w:type="spellEnd"/>
      <w:r w:rsidR="005119BD" w:rsidRPr="001C2DDF">
        <w:rPr>
          <w:rFonts w:ascii="Arial" w:hAnsi="Arial" w:cs="Arial"/>
          <w:bCs/>
          <w:color w:val="000000"/>
          <w:sz w:val="22"/>
          <w:szCs w:val="22"/>
        </w:rPr>
        <w:t xml:space="preserve"> tra le quali </w:t>
      </w:r>
      <w:r w:rsidR="00D9142E" w:rsidRPr="001C2DDF">
        <w:rPr>
          <w:rFonts w:ascii="Arial" w:hAnsi="Arial" w:cs="Arial"/>
          <w:bCs/>
          <w:color w:val="000000"/>
          <w:sz w:val="22"/>
          <w:szCs w:val="22"/>
        </w:rPr>
        <w:t>aver i</w:t>
      </w:r>
      <w:r w:rsidR="00F25E6B" w:rsidRPr="001C2DDF">
        <w:rPr>
          <w:rFonts w:ascii="Arial" w:hAnsi="Arial" w:cs="Arial"/>
          <w:bCs/>
          <w:color w:val="000000"/>
          <w:sz w:val="22"/>
          <w:szCs w:val="22"/>
        </w:rPr>
        <w:t xml:space="preserve">) stabilito nuovi accordi con Università straniere e ha attuato e portato a regime il </w:t>
      </w:r>
      <w:r w:rsidR="00F25E6B" w:rsidRPr="001C2DDF">
        <w:rPr>
          <w:rFonts w:ascii="Arial" w:hAnsi="Arial" w:cs="Arial"/>
          <w:color w:val="000000"/>
          <w:sz w:val="22"/>
          <w:szCs w:val="22"/>
        </w:rPr>
        <w:t xml:space="preserve">riconoscimento a pacchetto degli esami sostenuti durante l'Erasmus; </w:t>
      </w:r>
      <w:r w:rsidR="00D9142E" w:rsidRPr="001C2DDF">
        <w:rPr>
          <w:rFonts w:ascii="Arial" w:hAnsi="Arial" w:cs="Arial"/>
          <w:color w:val="000000"/>
          <w:sz w:val="22"/>
          <w:szCs w:val="22"/>
        </w:rPr>
        <w:t>ii</w:t>
      </w:r>
      <w:r w:rsidR="00F25E6B" w:rsidRPr="001C2DDF">
        <w:rPr>
          <w:rFonts w:ascii="Arial" w:hAnsi="Arial" w:cs="Arial"/>
          <w:color w:val="000000"/>
          <w:sz w:val="22"/>
          <w:szCs w:val="22"/>
        </w:rPr>
        <w:t>) introdotto dall'</w:t>
      </w:r>
      <w:proofErr w:type="spellStart"/>
      <w:r w:rsidR="00F25E6B" w:rsidRPr="001C2DDF">
        <w:rPr>
          <w:rFonts w:ascii="Arial" w:hAnsi="Arial" w:cs="Arial"/>
          <w:color w:val="000000"/>
          <w:sz w:val="22"/>
          <w:szCs w:val="22"/>
        </w:rPr>
        <w:t>a.a</w:t>
      </w:r>
      <w:proofErr w:type="spellEnd"/>
      <w:r w:rsidR="00F25E6B" w:rsidRPr="001C2DDF">
        <w:rPr>
          <w:rFonts w:ascii="Arial" w:hAnsi="Arial" w:cs="Arial"/>
          <w:color w:val="000000"/>
          <w:sz w:val="22"/>
          <w:szCs w:val="22"/>
        </w:rPr>
        <w:t>. 2019-2020 la partecipazione all'Erasmus o ad altro programma di internazionalizzazione come requisito per ottenere un punto di bonus sul voto di laurea (almeno 12</w:t>
      </w:r>
      <w:r w:rsidR="00240052" w:rsidRPr="001C2DDF">
        <w:rPr>
          <w:rFonts w:ascii="Arial" w:hAnsi="Arial" w:cs="Arial"/>
          <w:color w:val="000000"/>
          <w:sz w:val="22"/>
          <w:szCs w:val="22"/>
        </w:rPr>
        <w:t xml:space="preserve"> </w:t>
      </w:r>
      <w:r w:rsidR="00F25E6B" w:rsidRPr="001C2DDF">
        <w:rPr>
          <w:rFonts w:ascii="Arial" w:hAnsi="Arial" w:cs="Arial"/>
          <w:color w:val="000000"/>
          <w:sz w:val="22"/>
          <w:szCs w:val="22"/>
        </w:rPr>
        <w:t xml:space="preserve">CFU maturati all'estero); </w:t>
      </w:r>
      <w:r w:rsidR="00D9142E" w:rsidRPr="001C2DDF">
        <w:rPr>
          <w:rFonts w:ascii="Arial" w:hAnsi="Arial" w:cs="Arial"/>
          <w:color w:val="000000"/>
          <w:sz w:val="22"/>
          <w:szCs w:val="22"/>
        </w:rPr>
        <w:t>iii</w:t>
      </w:r>
      <w:r w:rsidR="00F25E6B" w:rsidRPr="001C2DDF">
        <w:rPr>
          <w:rFonts w:ascii="Arial" w:hAnsi="Arial" w:cs="Arial"/>
          <w:color w:val="000000"/>
          <w:sz w:val="22"/>
          <w:szCs w:val="22"/>
        </w:rPr>
        <w:t>) adottato una piattaforma online realizzata dall'Ateneo per gestire i documenti relativi all'Erasmus e semplificare le pratiche burocratiche</w:t>
      </w:r>
      <w:r w:rsidRPr="001C2DDF">
        <w:rPr>
          <w:rFonts w:ascii="Arial" w:hAnsi="Arial" w:cs="Arial"/>
          <w:color w:val="000000"/>
          <w:sz w:val="22"/>
          <w:szCs w:val="22"/>
        </w:rPr>
        <w:t>;</w:t>
      </w:r>
      <w:r w:rsidR="00F25E6B" w:rsidRPr="001C2DDF">
        <w:rPr>
          <w:rFonts w:ascii="Arial" w:hAnsi="Arial" w:cs="Arial"/>
          <w:color w:val="000000"/>
          <w:sz w:val="22"/>
          <w:szCs w:val="22"/>
        </w:rPr>
        <w:t xml:space="preserve"> </w:t>
      </w:r>
      <w:r w:rsidR="00D9142E" w:rsidRPr="001C2DDF">
        <w:rPr>
          <w:rFonts w:ascii="Arial" w:hAnsi="Arial" w:cs="Arial"/>
          <w:color w:val="000000"/>
          <w:sz w:val="22"/>
          <w:szCs w:val="22"/>
        </w:rPr>
        <w:t>iv</w:t>
      </w:r>
      <w:r w:rsidR="00F25E6B" w:rsidRPr="001C2DDF">
        <w:rPr>
          <w:rFonts w:ascii="Arial" w:hAnsi="Arial" w:cs="Arial"/>
          <w:color w:val="000000"/>
          <w:sz w:val="22"/>
          <w:szCs w:val="22"/>
        </w:rPr>
        <w:t xml:space="preserve">) realizzato una sezione di informazioni per gli studenti Erasmus in entrata e in uscita sul suo sito </w:t>
      </w:r>
      <w:r w:rsidR="00F25E6B" w:rsidRPr="00B86D2B">
        <w:rPr>
          <w:rFonts w:ascii="Arial" w:hAnsi="Arial" w:cs="Arial"/>
          <w:sz w:val="22"/>
          <w:szCs w:val="22"/>
        </w:rPr>
        <w:t>(</w:t>
      </w:r>
      <w:hyperlink r:id="rId10" w:history="1">
        <w:r w:rsidRPr="00B86D2B">
          <w:rPr>
            <w:rStyle w:val="Collegamentoipertestuale"/>
            <w:rFonts w:ascii="Arial" w:hAnsi="Arial" w:cs="Arial"/>
            <w:color w:val="auto"/>
            <w:sz w:val="22"/>
            <w:szCs w:val="22"/>
            <w:u w:val="none"/>
          </w:rPr>
          <w:t>http://gestionale.uniroma2.it/servizi/erasmus/</w:t>
        </w:r>
      </w:hyperlink>
      <w:r w:rsidR="00F25E6B" w:rsidRPr="00B86D2B">
        <w:rPr>
          <w:rFonts w:ascii="Arial" w:hAnsi="Arial" w:cs="Arial"/>
          <w:sz w:val="22"/>
          <w:szCs w:val="22"/>
        </w:rPr>
        <w:t>)</w:t>
      </w:r>
      <w:r w:rsidRPr="00B86D2B">
        <w:rPr>
          <w:rFonts w:ascii="Arial" w:hAnsi="Arial" w:cs="Arial"/>
          <w:sz w:val="22"/>
          <w:szCs w:val="22"/>
        </w:rPr>
        <w:t xml:space="preserve">; v) aver adottato una politica di maggiore flessibilità </w:t>
      </w:r>
      <w:r w:rsidRPr="001C2DDF">
        <w:rPr>
          <w:rFonts w:ascii="Arial" w:hAnsi="Arial" w:cs="Arial"/>
          <w:color w:val="000000"/>
          <w:sz w:val="22"/>
          <w:szCs w:val="22"/>
        </w:rPr>
        <w:t>nel riconoscimento degli esami da sostenere all’estero</w:t>
      </w:r>
      <w:r w:rsidR="005122DA" w:rsidRPr="001C2DDF">
        <w:rPr>
          <w:rFonts w:ascii="Arial" w:hAnsi="Arial" w:cs="Arial"/>
          <w:color w:val="000000"/>
          <w:sz w:val="22"/>
          <w:szCs w:val="22"/>
        </w:rPr>
        <w:t>; vi) creato un database degli esami sostenuti all'estero e riconosciuti negli anni passati, per agevolare la scelta degli studenti e rendere il processo di riconoscimento</w:t>
      </w:r>
      <w:r w:rsidR="005B7403" w:rsidRPr="001C2DDF">
        <w:rPr>
          <w:rFonts w:ascii="Arial" w:hAnsi="Arial" w:cs="Arial"/>
          <w:color w:val="000000"/>
          <w:sz w:val="22"/>
          <w:szCs w:val="22"/>
        </w:rPr>
        <w:t xml:space="preserve"> più efficiente</w:t>
      </w:r>
      <w:r w:rsidR="005122DA" w:rsidRPr="001C2DDF">
        <w:rPr>
          <w:rFonts w:ascii="Arial" w:hAnsi="Arial" w:cs="Arial"/>
          <w:color w:val="000000"/>
          <w:sz w:val="22"/>
          <w:szCs w:val="22"/>
        </w:rPr>
        <w:t>.</w:t>
      </w:r>
      <w:r w:rsidRPr="001C2DDF">
        <w:rPr>
          <w:rFonts w:ascii="Arial" w:hAnsi="Arial" w:cs="Arial"/>
          <w:color w:val="000000"/>
          <w:sz w:val="22"/>
          <w:szCs w:val="22"/>
        </w:rPr>
        <w:t xml:space="preserve"> </w:t>
      </w:r>
      <w:r w:rsidR="005119BD" w:rsidRPr="001C2DDF">
        <w:rPr>
          <w:rFonts w:ascii="Arial" w:hAnsi="Arial" w:cs="Arial"/>
          <w:color w:val="000000"/>
          <w:sz w:val="22"/>
          <w:szCs w:val="22"/>
        </w:rPr>
        <w:t xml:space="preserve">La </w:t>
      </w:r>
      <w:r w:rsidR="00F25E6B" w:rsidRPr="001C2DDF">
        <w:rPr>
          <w:rFonts w:ascii="Arial" w:hAnsi="Arial" w:cs="Arial"/>
          <w:color w:val="000000"/>
          <w:sz w:val="22"/>
          <w:szCs w:val="22"/>
        </w:rPr>
        <w:t xml:space="preserve">Referente del </w:t>
      </w:r>
      <w:proofErr w:type="spellStart"/>
      <w:r w:rsidR="00F25E6B" w:rsidRPr="001C2DDF">
        <w:rPr>
          <w:rFonts w:ascii="Arial" w:hAnsi="Arial" w:cs="Arial"/>
          <w:color w:val="000000"/>
          <w:sz w:val="22"/>
          <w:szCs w:val="22"/>
        </w:rPr>
        <w:t>CdS</w:t>
      </w:r>
      <w:proofErr w:type="spellEnd"/>
      <w:r w:rsidR="00F25E6B" w:rsidRPr="001C2DDF">
        <w:rPr>
          <w:rFonts w:ascii="Arial" w:hAnsi="Arial" w:cs="Arial"/>
          <w:color w:val="000000"/>
          <w:sz w:val="22"/>
          <w:szCs w:val="22"/>
        </w:rPr>
        <w:t xml:space="preserve"> per l’Erasmus è la Prof.ssa Cristina Cornaro.</w:t>
      </w:r>
    </w:p>
    <w:p w14:paraId="144393B6" w14:textId="0E52E7B2" w:rsidR="00F25E6B"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Stato di avanzamento:</w:t>
      </w:r>
    </w:p>
    <w:p w14:paraId="1D8F539C" w14:textId="77BEAD25" w:rsidR="005119BD" w:rsidRPr="001C2DDF" w:rsidRDefault="005B7403" w:rsidP="00060F9E">
      <w:pPr>
        <w:jc w:val="both"/>
        <w:rPr>
          <w:rFonts w:ascii="Arial" w:hAnsi="Arial" w:cs="Arial"/>
          <w:color w:val="000000"/>
          <w:sz w:val="22"/>
          <w:szCs w:val="22"/>
        </w:rPr>
      </w:pPr>
      <w:r w:rsidRPr="001C2DDF">
        <w:rPr>
          <w:rFonts w:ascii="Arial" w:hAnsi="Arial" w:cs="Arial"/>
          <w:color w:val="000000"/>
          <w:sz w:val="22"/>
          <w:szCs w:val="22"/>
        </w:rPr>
        <w:t>Quanto riportato nelle azioni di migliorament</w:t>
      </w:r>
      <w:r w:rsidR="00481005">
        <w:rPr>
          <w:rFonts w:ascii="Arial" w:hAnsi="Arial" w:cs="Arial"/>
          <w:color w:val="000000"/>
          <w:sz w:val="22"/>
          <w:szCs w:val="22"/>
        </w:rPr>
        <w:t>o</w:t>
      </w:r>
      <w:r w:rsidRPr="001C2DDF">
        <w:rPr>
          <w:rFonts w:ascii="Arial" w:hAnsi="Arial" w:cs="Arial"/>
          <w:color w:val="000000"/>
          <w:sz w:val="22"/>
          <w:szCs w:val="22"/>
        </w:rPr>
        <w:t xml:space="preserve"> intraprese è operativo ed è sotto continuo monitoraggio e miglioramento.</w:t>
      </w:r>
    </w:p>
    <w:p w14:paraId="5FB34A38" w14:textId="77777777" w:rsidR="00F25E6B" w:rsidRPr="001C2DDF" w:rsidRDefault="00F25E6B" w:rsidP="00060F9E">
      <w:pPr>
        <w:jc w:val="both"/>
        <w:rPr>
          <w:rFonts w:ascii="Arial" w:hAnsi="Arial" w:cs="Arial"/>
          <w:b/>
          <w:sz w:val="22"/>
          <w:szCs w:val="22"/>
        </w:rPr>
      </w:pPr>
      <w:r w:rsidRPr="001C2DDF">
        <w:rPr>
          <w:rFonts w:ascii="Arial" w:hAnsi="Arial" w:cs="Arial"/>
          <w:b/>
          <w:sz w:val="22"/>
          <w:szCs w:val="22"/>
        </w:rPr>
        <w:t xml:space="preserve">Efficacia delle azioni </w:t>
      </w:r>
      <w:r w:rsidR="00A510BE" w:rsidRPr="001C2DDF">
        <w:rPr>
          <w:rFonts w:ascii="Arial" w:hAnsi="Arial" w:cs="Arial"/>
          <w:b/>
          <w:sz w:val="22"/>
          <w:szCs w:val="22"/>
        </w:rPr>
        <w:t>intraprese</w:t>
      </w:r>
      <w:r w:rsidRPr="001C2DDF">
        <w:rPr>
          <w:rFonts w:ascii="Arial" w:hAnsi="Arial" w:cs="Arial"/>
          <w:b/>
          <w:sz w:val="22"/>
          <w:szCs w:val="22"/>
        </w:rPr>
        <w:t>:</w:t>
      </w:r>
    </w:p>
    <w:p w14:paraId="7C332EDE" w14:textId="1997320F" w:rsidR="00F25E6B" w:rsidRPr="001C2DDF" w:rsidRDefault="00F25E6B" w:rsidP="00060F9E">
      <w:pPr>
        <w:jc w:val="both"/>
        <w:rPr>
          <w:rFonts w:ascii="Arial" w:hAnsi="Arial" w:cs="Arial"/>
          <w:color w:val="000000"/>
          <w:sz w:val="22"/>
          <w:szCs w:val="22"/>
        </w:rPr>
      </w:pPr>
      <w:r w:rsidRPr="001C2DDF">
        <w:rPr>
          <w:rFonts w:ascii="Arial" w:hAnsi="Arial" w:cs="Arial"/>
          <w:sz w:val="22"/>
          <w:szCs w:val="22"/>
        </w:rPr>
        <w:t>Gli indicatori disponibili nel 2026 mostrano risultati complessivamente positivi, ma non uniformi. iC11 cresce fino al 16,1% nel 2025 e la quota AlmaLaurea di laureati che hanno svolto periodi di studio all'estero sale al 15,4%; al tempo stesso iC10 scende al 7,9‰ nel 2024, pur restando sopra i benchmark di confronto. Le azioni intraprese appaiono quindi efficaci nel favorire esperienze strutturate di mobilità, ma richiedono continuità e monitoraggio.</w:t>
      </w:r>
    </w:p>
    <w:p w14:paraId="5299E366" w14:textId="77777777" w:rsidR="00F25E6B"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Azioni di miglioramento da intraprendere:</w:t>
      </w:r>
    </w:p>
    <w:p w14:paraId="74B5977E" w14:textId="0F549B4B" w:rsidR="00F25E6B" w:rsidRPr="001C2DDF" w:rsidRDefault="00D9142E" w:rsidP="00060F9E">
      <w:pPr>
        <w:jc w:val="both"/>
        <w:rPr>
          <w:rFonts w:ascii="Arial" w:hAnsi="Arial" w:cs="Arial"/>
          <w:color w:val="000000"/>
          <w:sz w:val="22"/>
          <w:szCs w:val="22"/>
        </w:rPr>
      </w:pPr>
      <w:r w:rsidRPr="001C2DDF">
        <w:rPr>
          <w:rFonts w:ascii="Arial" w:hAnsi="Arial" w:cs="Arial"/>
          <w:color w:val="000000"/>
          <w:sz w:val="22"/>
          <w:szCs w:val="22"/>
        </w:rPr>
        <w:t xml:space="preserve">Il </w:t>
      </w:r>
      <w:proofErr w:type="spellStart"/>
      <w:r w:rsidRPr="001C2DDF">
        <w:rPr>
          <w:rFonts w:ascii="Arial" w:hAnsi="Arial" w:cs="Arial"/>
          <w:color w:val="000000"/>
          <w:sz w:val="22"/>
          <w:szCs w:val="22"/>
        </w:rPr>
        <w:t>CdS</w:t>
      </w:r>
      <w:proofErr w:type="spellEnd"/>
      <w:r w:rsidRPr="001C2DDF">
        <w:rPr>
          <w:rFonts w:ascii="Arial" w:hAnsi="Arial" w:cs="Arial"/>
          <w:color w:val="000000"/>
          <w:sz w:val="22"/>
          <w:szCs w:val="22"/>
        </w:rPr>
        <w:t xml:space="preserve"> intende consolidare tutte le azioni, sia quelle raggiunte che quell</w:t>
      </w:r>
      <w:r w:rsidR="00481005">
        <w:rPr>
          <w:rFonts w:ascii="Arial" w:hAnsi="Arial" w:cs="Arial"/>
          <w:color w:val="000000"/>
          <w:sz w:val="22"/>
          <w:szCs w:val="22"/>
        </w:rPr>
        <w:t>e</w:t>
      </w:r>
      <w:r w:rsidRPr="001C2DDF">
        <w:rPr>
          <w:rFonts w:ascii="Arial" w:hAnsi="Arial" w:cs="Arial"/>
          <w:color w:val="000000"/>
          <w:sz w:val="22"/>
          <w:szCs w:val="22"/>
        </w:rPr>
        <w:t xml:space="preserve"> in fase di raggiungimento</w:t>
      </w:r>
      <w:r w:rsidR="001C2DDF" w:rsidRPr="001C2DDF">
        <w:rPr>
          <w:rFonts w:ascii="Arial" w:hAnsi="Arial" w:cs="Arial"/>
          <w:color w:val="000000"/>
          <w:sz w:val="22"/>
          <w:szCs w:val="22"/>
        </w:rPr>
        <w:t>.</w:t>
      </w:r>
    </w:p>
    <w:p w14:paraId="282EDE67" w14:textId="77777777" w:rsidR="00F25E6B"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 xml:space="preserve">Modalità e risorse: </w:t>
      </w:r>
    </w:p>
    <w:p w14:paraId="2916DD80" w14:textId="63D7D5D9" w:rsidR="00F25E6B" w:rsidRPr="001C2DDF" w:rsidRDefault="00391C14" w:rsidP="00060F9E">
      <w:pPr>
        <w:jc w:val="both"/>
        <w:rPr>
          <w:rFonts w:ascii="Arial" w:hAnsi="Arial" w:cs="Arial"/>
          <w:color w:val="000000"/>
          <w:sz w:val="22"/>
          <w:szCs w:val="22"/>
        </w:rPr>
      </w:pPr>
      <w:r>
        <w:rPr>
          <w:rFonts w:ascii="Arial" w:hAnsi="Arial" w:cs="Arial"/>
          <w:color w:val="000000"/>
          <w:sz w:val="22"/>
          <w:szCs w:val="22"/>
        </w:rPr>
        <w:t xml:space="preserve">La Commissione </w:t>
      </w:r>
      <w:r w:rsidR="00F25E6B" w:rsidRPr="001C2DDF">
        <w:rPr>
          <w:rFonts w:ascii="Arial" w:hAnsi="Arial" w:cs="Arial"/>
          <w:color w:val="000000"/>
          <w:sz w:val="22"/>
          <w:szCs w:val="22"/>
        </w:rPr>
        <w:t xml:space="preserve">per l'Assicurazione della Qualità </w:t>
      </w:r>
      <w:r>
        <w:rPr>
          <w:rFonts w:ascii="Arial" w:hAnsi="Arial" w:cs="Arial"/>
          <w:color w:val="000000"/>
          <w:sz w:val="22"/>
          <w:szCs w:val="22"/>
        </w:rPr>
        <w:t xml:space="preserve">del Dipartimento di Ingegneria dell’Impresa </w:t>
      </w:r>
      <w:r w:rsidR="00F25E6B" w:rsidRPr="001C2DDF">
        <w:rPr>
          <w:rFonts w:ascii="Arial" w:hAnsi="Arial" w:cs="Arial"/>
          <w:color w:val="000000"/>
          <w:sz w:val="22"/>
          <w:szCs w:val="22"/>
        </w:rPr>
        <w:t>dovrà effettuare un monitoraggio degli effetti che le azioni di miglioramento descritte avranno sul numero dei CFU conseguiti all'estero d</w:t>
      </w:r>
      <w:r w:rsidR="00204ED8">
        <w:rPr>
          <w:rFonts w:ascii="Arial" w:hAnsi="Arial" w:cs="Arial"/>
          <w:color w:val="000000"/>
          <w:sz w:val="22"/>
          <w:szCs w:val="22"/>
        </w:rPr>
        <w:t>a</w:t>
      </w:r>
      <w:r w:rsidR="00F25E6B" w:rsidRPr="001C2DDF">
        <w:rPr>
          <w:rFonts w:ascii="Arial" w:hAnsi="Arial" w:cs="Arial"/>
          <w:color w:val="000000"/>
          <w:sz w:val="22"/>
          <w:szCs w:val="22"/>
        </w:rPr>
        <w:t>gli studenti. Inoltre, se si riterrà necessario</w:t>
      </w:r>
      <w:r w:rsidR="00204ED8">
        <w:rPr>
          <w:rFonts w:ascii="Arial" w:hAnsi="Arial" w:cs="Arial"/>
          <w:color w:val="000000"/>
          <w:sz w:val="22"/>
          <w:szCs w:val="22"/>
        </w:rPr>
        <w:t>,</w:t>
      </w:r>
      <w:r w:rsidR="00F25E6B" w:rsidRPr="001C2DDF">
        <w:rPr>
          <w:rFonts w:ascii="Arial" w:hAnsi="Arial" w:cs="Arial"/>
          <w:color w:val="000000"/>
          <w:sz w:val="22"/>
          <w:szCs w:val="22"/>
        </w:rPr>
        <w:t xml:space="preserve"> verrà riproposta la somministrazione di questionari agli studenti per identificare criticità e individuare ulteriori possibili azioni di miglioramento da implementare.</w:t>
      </w:r>
    </w:p>
    <w:p w14:paraId="6D3C474C" w14:textId="77777777" w:rsidR="00F25E6B"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 xml:space="preserve">Scadenze previste e indicatori che misurino lo stato di avanzamento: </w:t>
      </w:r>
    </w:p>
    <w:p w14:paraId="3C88199C" w14:textId="7D505813" w:rsidR="00F25E6B" w:rsidRPr="001C2DDF" w:rsidRDefault="00F25E6B" w:rsidP="00060F9E">
      <w:pPr>
        <w:jc w:val="both"/>
        <w:rPr>
          <w:rFonts w:ascii="Arial" w:hAnsi="Arial" w:cs="Arial"/>
          <w:color w:val="000000"/>
          <w:sz w:val="22"/>
          <w:szCs w:val="22"/>
        </w:rPr>
      </w:pPr>
      <w:r w:rsidRPr="001C2DDF">
        <w:rPr>
          <w:rFonts w:ascii="Arial" w:hAnsi="Arial" w:cs="Arial"/>
          <w:color w:val="000000"/>
          <w:sz w:val="22"/>
          <w:szCs w:val="22"/>
        </w:rPr>
        <w:t xml:space="preserve">Scadenza: </w:t>
      </w:r>
      <w:r w:rsidR="000B6843" w:rsidRPr="001C2DDF">
        <w:rPr>
          <w:rFonts w:ascii="Arial" w:hAnsi="Arial" w:cs="Arial"/>
          <w:color w:val="000000"/>
          <w:sz w:val="22"/>
          <w:szCs w:val="22"/>
        </w:rPr>
        <w:t>monitoraggio annuale</w:t>
      </w:r>
      <w:r w:rsidRPr="001C2DDF">
        <w:rPr>
          <w:rFonts w:ascii="Arial" w:hAnsi="Arial" w:cs="Arial"/>
          <w:color w:val="000000"/>
          <w:sz w:val="22"/>
          <w:szCs w:val="22"/>
        </w:rPr>
        <w:t>.</w:t>
      </w:r>
    </w:p>
    <w:p w14:paraId="4C4B37D5" w14:textId="716AE458" w:rsidR="00F25E6B" w:rsidRPr="001C2DDF" w:rsidRDefault="00F25E6B" w:rsidP="00060F9E">
      <w:pPr>
        <w:jc w:val="both"/>
        <w:rPr>
          <w:rFonts w:ascii="Arial" w:hAnsi="Arial" w:cs="Arial"/>
          <w:color w:val="000000"/>
          <w:sz w:val="22"/>
          <w:szCs w:val="22"/>
        </w:rPr>
      </w:pPr>
      <w:r w:rsidRPr="001C2DDF">
        <w:rPr>
          <w:rFonts w:ascii="Arial" w:hAnsi="Arial" w:cs="Arial"/>
          <w:color w:val="000000"/>
          <w:sz w:val="22"/>
          <w:szCs w:val="22"/>
        </w:rPr>
        <w:t>Indicatore: numero di CFU conseguiti all’estero</w:t>
      </w:r>
      <w:r w:rsidR="000B6843" w:rsidRPr="001C2DDF">
        <w:rPr>
          <w:rFonts w:ascii="Arial" w:hAnsi="Arial" w:cs="Arial"/>
          <w:color w:val="000000"/>
          <w:sz w:val="22"/>
          <w:szCs w:val="22"/>
        </w:rPr>
        <w:t>.</w:t>
      </w:r>
    </w:p>
    <w:p w14:paraId="7CA9CF20" w14:textId="77777777" w:rsidR="00F25E6B" w:rsidRPr="001C2DDF" w:rsidRDefault="00F25E6B" w:rsidP="00060F9E">
      <w:pPr>
        <w:jc w:val="both"/>
        <w:rPr>
          <w:rFonts w:ascii="Arial" w:hAnsi="Arial" w:cs="Arial"/>
          <w:b/>
          <w:color w:val="000000"/>
          <w:sz w:val="22"/>
          <w:szCs w:val="22"/>
        </w:rPr>
      </w:pPr>
      <w:r w:rsidRPr="001C2DDF">
        <w:rPr>
          <w:rFonts w:ascii="Arial" w:hAnsi="Arial" w:cs="Arial"/>
          <w:b/>
          <w:color w:val="000000"/>
          <w:sz w:val="22"/>
          <w:szCs w:val="22"/>
        </w:rPr>
        <w:t>Responsabilità:</w:t>
      </w:r>
    </w:p>
    <w:p w14:paraId="448A2129" w14:textId="30DD7887" w:rsidR="00DB10B6" w:rsidRPr="00401AAA" w:rsidRDefault="00391C14" w:rsidP="00060F9E">
      <w:pPr>
        <w:jc w:val="both"/>
        <w:rPr>
          <w:rFonts w:ascii="Arial" w:hAnsi="Arial" w:cs="Arial"/>
          <w:sz w:val="22"/>
          <w:szCs w:val="22"/>
          <w:highlight w:val="yellow"/>
        </w:rPr>
      </w:pPr>
      <w:r>
        <w:rPr>
          <w:rFonts w:ascii="Arial" w:hAnsi="Arial" w:cs="Arial"/>
          <w:color w:val="000000"/>
          <w:sz w:val="22"/>
          <w:szCs w:val="22"/>
        </w:rPr>
        <w:t xml:space="preserve">Commissione </w:t>
      </w:r>
      <w:r w:rsidRPr="001C2DDF">
        <w:rPr>
          <w:rFonts w:ascii="Arial" w:hAnsi="Arial" w:cs="Arial"/>
          <w:color w:val="000000"/>
          <w:sz w:val="22"/>
          <w:szCs w:val="22"/>
        </w:rPr>
        <w:t xml:space="preserve">per l'Assicurazione della Qualità </w:t>
      </w:r>
      <w:r>
        <w:rPr>
          <w:rFonts w:ascii="Arial" w:hAnsi="Arial" w:cs="Arial"/>
          <w:color w:val="000000"/>
          <w:sz w:val="22"/>
          <w:szCs w:val="22"/>
        </w:rPr>
        <w:t>del Dipartimento di Ingegneria dell’Impresa</w:t>
      </w:r>
      <w:r>
        <w:rPr>
          <w:rFonts w:ascii="Arial" w:hAnsi="Arial" w:cs="Arial"/>
          <w:color w:val="000000"/>
          <w:sz w:val="22"/>
          <w:szCs w:val="22"/>
        </w:rPr>
        <w:t>.</w:t>
      </w:r>
    </w:p>
    <w:p w14:paraId="0226F4EB" w14:textId="77777777" w:rsidR="00F25E6B" w:rsidRPr="00401AAA" w:rsidRDefault="00F25E6B" w:rsidP="00060F9E">
      <w:pPr>
        <w:jc w:val="both"/>
        <w:rPr>
          <w:rFonts w:ascii="Arial" w:hAnsi="Arial" w:cs="Arial"/>
          <w:sz w:val="22"/>
          <w:szCs w:val="22"/>
          <w:highlight w:val="yellow"/>
        </w:rPr>
      </w:pPr>
    </w:p>
    <w:p w14:paraId="65035539" w14:textId="4EB29468" w:rsidR="00F74A37" w:rsidRPr="00F75ABF" w:rsidRDefault="00F74A37" w:rsidP="00060F9E">
      <w:pPr>
        <w:pStyle w:val="paragraph"/>
        <w:spacing w:before="0" w:beforeAutospacing="0" w:after="0" w:afterAutospacing="0"/>
        <w:jc w:val="both"/>
        <w:textAlignment w:val="baseline"/>
        <w:rPr>
          <w:rFonts w:ascii="Arial" w:hAnsi="Arial" w:cs="Arial"/>
          <w:sz w:val="22"/>
          <w:szCs w:val="22"/>
        </w:rPr>
      </w:pPr>
      <w:r w:rsidRPr="00F75ABF">
        <w:rPr>
          <w:rStyle w:val="normaltextrun"/>
          <w:rFonts w:ascii="Arial" w:hAnsi="Arial" w:cs="Arial"/>
          <w:b/>
          <w:bCs/>
          <w:color w:val="000000"/>
          <w:sz w:val="22"/>
          <w:szCs w:val="22"/>
        </w:rPr>
        <w:t>Obiettivo n.2 (Obiettivo n.2 SMA 2025)</w:t>
      </w:r>
    </w:p>
    <w:p w14:paraId="4BE94BD7" w14:textId="2BF46679" w:rsidR="00F74A37" w:rsidRPr="00F75ABF" w:rsidRDefault="00F74A37" w:rsidP="00060F9E">
      <w:pPr>
        <w:pStyle w:val="paragraph"/>
        <w:spacing w:before="0" w:beforeAutospacing="0" w:after="0" w:afterAutospacing="0"/>
        <w:jc w:val="both"/>
        <w:textAlignment w:val="baseline"/>
        <w:rPr>
          <w:rFonts w:ascii="Arial" w:hAnsi="Arial" w:cs="Arial"/>
          <w:sz w:val="22"/>
          <w:szCs w:val="22"/>
        </w:rPr>
      </w:pPr>
      <w:r w:rsidRPr="00F75ABF">
        <w:rPr>
          <w:rStyle w:val="normaltextrun"/>
          <w:rFonts w:ascii="Arial" w:hAnsi="Arial" w:cs="Arial"/>
          <w:color w:val="000000"/>
          <w:sz w:val="22"/>
          <w:szCs w:val="22"/>
        </w:rPr>
        <w:t xml:space="preserve">Migliorare il percorso degli studenti aumentando la loro soddisfazione (riduzione </w:t>
      </w:r>
      <w:r w:rsidR="00204ED8">
        <w:rPr>
          <w:rStyle w:val="normaltextrun"/>
          <w:rFonts w:ascii="Arial" w:hAnsi="Arial" w:cs="Arial"/>
          <w:color w:val="000000"/>
          <w:sz w:val="22"/>
          <w:szCs w:val="22"/>
        </w:rPr>
        <w:t xml:space="preserve">degli </w:t>
      </w:r>
      <w:r w:rsidRPr="00F75ABF">
        <w:rPr>
          <w:rStyle w:val="normaltextrun"/>
          <w:rFonts w:ascii="Arial" w:hAnsi="Arial" w:cs="Arial"/>
          <w:color w:val="000000"/>
          <w:sz w:val="22"/>
          <w:szCs w:val="22"/>
        </w:rPr>
        <w:t xml:space="preserve">abbandoni, aumento </w:t>
      </w:r>
      <w:r w:rsidR="00204ED8">
        <w:rPr>
          <w:rStyle w:val="normaltextrun"/>
          <w:rFonts w:ascii="Arial" w:hAnsi="Arial" w:cs="Arial"/>
          <w:color w:val="000000"/>
          <w:sz w:val="22"/>
          <w:szCs w:val="22"/>
        </w:rPr>
        <w:t xml:space="preserve">dei </w:t>
      </w:r>
      <w:r w:rsidRPr="00F75ABF">
        <w:rPr>
          <w:rStyle w:val="normaltextrun"/>
          <w:rFonts w:ascii="Arial" w:hAnsi="Arial" w:cs="Arial"/>
          <w:color w:val="000000"/>
          <w:sz w:val="22"/>
          <w:szCs w:val="22"/>
        </w:rPr>
        <w:t>crediti conseguiti per anno, riduzione della durata degli studi)</w:t>
      </w:r>
      <w:r w:rsidR="000B6843" w:rsidRPr="00F75ABF">
        <w:rPr>
          <w:rStyle w:val="normaltextrun"/>
          <w:rFonts w:ascii="Arial" w:hAnsi="Arial" w:cs="Arial"/>
          <w:color w:val="000000"/>
          <w:sz w:val="22"/>
          <w:szCs w:val="22"/>
        </w:rPr>
        <w:t>.</w:t>
      </w:r>
      <w:r w:rsidRPr="00F75ABF">
        <w:rPr>
          <w:rStyle w:val="eop"/>
          <w:rFonts w:ascii="Arial" w:hAnsi="Arial" w:cs="Arial"/>
          <w:color w:val="000000"/>
          <w:sz w:val="22"/>
          <w:szCs w:val="22"/>
        </w:rPr>
        <w:t> </w:t>
      </w:r>
    </w:p>
    <w:p w14:paraId="76E3429C" w14:textId="77777777"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Azioni di miglioramento intraprese:</w:t>
      </w:r>
      <w:r w:rsidRPr="00357FCF">
        <w:rPr>
          <w:rStyle w:val="eop"/>
          <w:rFonts w:ascii="Arial" w:hAnsi="Arial" w:cs="Arial"/>
          <w:color w:val="000000"/>
          <w:sz w:val="22"/>
          <w:szCs w:val="22"/>
        </w:rPr>
        <w:t> </w:t>
      </w:r>
    </w:p>
    <w:p w14:paraId="4427FDBE" w14:textId="2B036B39" w:rsidR="005F710D" w:rsidRPr="00357FCF" w:rsidRDefault="00F74A37" w:rsidP="00060F9E">
      <w:pPr>
        <w:pStyle w:val="paragraph"/>
        <w:spacing w:before="0" w:beforeAutospacing="0" w:after="0" w:afterAutospacing="0"/>
        <w:jc w:val="both"/>
        <w:textAlignment w:val="baseline"/>
        <w:rPr>
          <w:rStyle w:val="normaltextrun"/>
          <w:rFonts w:ascii="Arial" w:hAnsi="Arial" w:cs="Arial"/>
          <w:color w:val="000000"/>
          <w:sz w:val="22"/>
          <w:szCs w:val="22"/>
        </w:rPr>
      </w:pPr>
      <w:r w:rsidRPr="00357FCF">
        <w:rPr>
          <w:rStyle w:val="normaltextrun"/>
          <w:rFonts w:ascii="Arial" w:hAnsi="Arial" w:cs="Arial"/>
          <w:color w:val="000000"/>
          <w:sz w:val="22"/>
          <w:szCs w:val="22"/>
        </w:rPr>
        <w:t>La soddisfazione degli studenti è stata monitorata in maniera continua e sistematica attraverso incontri periodici con gli studenti e con i laureandi in prossimità delle sedute di laurea ai quali è stato richiesto anche di rispondere a</w:t>
      </w:r>
      <w:r w:rsidR="00D217D9">
        <w:rPr>
          <w:rStyle w:val="normaltextrun"/>
          <w:rFonts w:ascii="Arial" w:hAnsi="Arial" w:cs="Arial"/>
          <w:color w:val="000000"/>
          <w:sz w:val="22"/>
          <w:szCs w:val="22"/>
        </w:rPr>
        <w:t xml:space="preserve"> </w:t>
      </w:r>
      <w:r w:rsidRPr="00357FCF">
        <w:rPr>
          <w:rStyle w:val="normaltextrun"/>
          <w:rFonts w:ascii="Arial" w:hAnsi="Arial" w:cs="Arial"/>
          <w:color w:val="000000"/>
          <w:sz w:val="22"/>
          <w:szCs w:val="22"/>
        </w:rPr>
        <w:t xml:space="preserve">un questionario specifico per evidenziare le criticità percepite. </w:t>
      </w:r>
    </w:p>
    <w:p w14:paraId="5710C946" w14:textId="3D353EC0" w:rsidR="005F710D" w:rsidRPr="00357FCF" w:rsidRDefault="005F710D" w:rsidP="00060F9E">
      <w:pPr>
        <w:pStyle w:val="paragraph"/>
        <w:spacing w:before="0" w:beforeAutospacing="0" w:after="0" w:afterAutospacing="0"/>
        <w:jc w:val="both"/>
        <w:textAlignment w:val="baseline"/>
        <w:rPr>
          <w:rStyle w:val="normaltextrun"/>
          <w:rFonts w:ascii="Arial" w:hAnsi="Arial" w:cs="Arial"/>
          <w:color w:val="000000"/>
          <w:sz w:val="22"/>
          <w:szCs w:val="22"/>
        </w:rPr>
      </w:pPr>
      <w:r w:rsidRPr="00357FCF">
        <w:rPr>
          <w:rStyle w:val="normaltextrun"/>
          <w:rFonts w:ascii="Arial" w:hAnsi="Arial" w:cs="Arial"/>
          <w:color w:val="000000"/>
          <w:sz w:val="22"/>
          <w:szCs w:val="22"/>
          <w:shd w:val="clear" w:color="auto" w:fill="FFFFFF"/>
        </w:rPr>
        <w:t>S</w:t>
      </w:r>
      <w:r w:rsidR="00F74A37" w:rsidRPr="00357FCF">
        <w:rPr>
          <w:rStyle w:val="normaltextrun"/>
          <w:rFonts w:ascii="Arial" w:hAnsi="Arial" w:cs="Arial"/>
          <w:color w:val="000000"/>
          <w:sz w:val="22"/>
          <w:szCs w:val="22"/>
          <w:shd w:val="clear" w:color="auto" w:fill="FFFFFF"/>
        </w:rPr>
        <w:t xml:space="preserve">i sono intensificate le occasioni di analisi e di discussione </w:t>
      </w:r>
      <w:r w:rsidR="003857D1" w:rsidRPr="00357FCF">
        <w:rPr>
          <w:rStyle w:val="normaltextrun"/>
          <w:rFonts w:ascii="Arial" w:hAnsi="Arial" w:cs="Arial"/>
          <w:color w:val="000000"/>
          <w:sz w:val="22"/>
          <w:szCs w:val="22"/>
          <w:shd w:val="clear" w:color="auto" w:fill="FFFFFF"/>
        </w:rPr>
        <w:t>tra il Coordinatore del Cds, il GGAQ e i docenti</w:t>
      </w:r>
      <w:r w:rsidR="00F74A37" w:rsidRPr="00357FCF">
        <w:rPr>
          <w:rStyle w:val="normaltextrun"/>
          <w:rFonts w:ascii="Arial" w:hAnsi="Arial" w:cs="Arial"/>
          <w:color w:val="000000"/>
          <w:sz w:val="22"/>
          <w:szCs w:val="22"/>
          <w:shd w:val="clear" w:color="auto" w:fill="FFFFFF"/>
        </w:rPr>
        <w:t>, continuamente impegnati a individuare le modalità per ridurre al minimo il disagio per gli studenti e per i laureandi.</w:t>
      </w:r>
      <w:r w:rsidR="00F74A37" w:rsidRPr="00357FCF">
        <w:rPr>
          <w:rStyle w:val="normaltextrun"/>
          <w:rFonts w:ascii="Arial" w:hAnsi="Arial" w:cs="Arial"/>
          <w:color w:val="000000"/>
          <w:sz w:val="22"/>
          <w:szCs w:val="22"/>
        </w:rPr>
        <w:t> </w:t>
      </w:r>
    </w:p>
    <w:p w14:paraId="40F93CAF" w14:textId="2A9B9D3F" w:rsidR="005F710D" w:rsidRPr="00357FCF" w:rsidRDefault="003857D1" w:rsidP="00060F9E">
      <w:pPr>
        <w:pStyle w:val="paragraph"/>
        <w:spacing w:before="0" w:beforeAutospacing="0" w:after="0" w:afterAutospacing="0"/>
        <w:jc w:val="both"/>
        <w:textAlignment w:val="baseline"/>
        <w:rPr>
          <w:rStyle w:val="normaltextrun"/>
          <w:rFonts w:ascii="Arial" w:hAnsi="Arial" w:cs="Arial"/>
          <w:color w:val="000000"/>
          <w:sz w:val="22"/>
          <w:szCs w:val="22"/>
        </w:rPr>
      </w:pPr>
      <w:r w:rsidRPr="00357FCF">
        <w:rPr>
          <w:rStyle w:val="normaltextrun"/>
          <w:rFonts w:ascii="Arial" w:hAnsi="Arial" w:cs="Arial"/>
          <w:color w:val="000000"/>
          <w:sz w:val="22"/>
          <w:szCs w:val="22"/>
        </w:rPr>
        <w:t>Sono stati consolidati i canali Teams creati con i laureandi e i rappresentanti con gli studenti.</w:t>
      </w:r>
    </w:p>
    <w:p w14:paraId="390814FE" w14:textId="4054A138" w:rsidR="00F74A37" w:rsidRPr="00357FCF" w:rsidRDefault="003857D1"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sz w:val="22"/>
          <w:szCs w:val="22"/>
        </w:rPr>
        <w:t>Si sono consolidate anche le azioni</w:t>
      </w:r>
      <w:r w:rsidR="00F74A37" w:rsidRPr="00357FCF">
        <w:rPr>
          <w:rStyle w:val="normaltextrun"/>
          <w:rFonts w:ascii="Arial" w:hAnsi="Arial" w:cs="Arial"/>
          <w:color w:val="000000"/>
          <w:sz w:val="22"/>
          <w:szCs w:val="22"/>
        </w:rPr>
        <w:t xml:space="preserve"> </w:t>
      </w:r>
      <w:r w:rsidRPr="00357FCF">
        <w:rPr>
          <w:rStyle w:val="normaltextrun"/>
          <w:rFonts w:ascii="Arial" w:hAnsi="Arial" w:cs="Arial"/>
          <w:color w:val="000000"/>
          <w:sz w:val="22"/>
          <w:szCs w:val="22"/>
        </w:rPr>
        <w:t>mirate a definire calendari d’esame sempre più vicini alle esigenze degli studenti</w:t>
      </w:r>
      <w:r w:rsidR="00C51336">
        <w:rPr>
          <w:rStyle w:val="normaltextrun"/>
          <w:rFonts w:ascii="Arial" w:hAnsi="Arial" w:cs="Arial"/>
          <w:color w:val="000000"/>
          <w:sz w:val="22"/>
          <w:szCs w:val="22"/>
        </w:rPr>
        <w:t>,</w:t>
      </w:r>
      <w:r w:rsidRPr="00357FCF">
        <w:rPr>
          <w:rStyle w:val="normaltextrun"/>
          <w:rFonts w:ascii="Arial" w:hAnsi="Arial" w:cs="Arial"/>
          <w:color w:val="000000"/>
          <w:sz w:val="22"/>
          <w:szCs w:val="22"/>
        </w:rPr>
        <w:t xml:space="preserve"> </w:t>
      </w:r>
      <w:r w:rsidR="00F74A37" w:rsidRPr="00357FCF">
        <w:rPr>
          <w:rStyle w:val="normaltextrun"/>
          <w:rFonts w:ascii="Arial" w:hAnsi="Arial" w:cs="Arial"/>
          <w:color w:val="000000"/>
          <w:sz w:val="22"/>
          <w:szCs w:val="22"/>
        </w:rPr>
        <w:t>sensibilizza</w:t>
      </w:r>
      <w:r w:rsidRPr="00357FCF">
        <w:rPr>
          <w:rStyle w:val="normaltextrun"/>
          <w:rFonts w:ascii="Arial" w:hAnsi="Arial" w:cs="Arial"/>
          <w:color w:val="000000"/>
          <w:sz w:val="22"/>
          <w:szCs w:val="22"/>
        </w:rPr>
        <w:t>ndo</w:t>
      </w:r>
      <w:r w:rsidR="00F74A37" w:rsidRPr="00357FCF">
        <w:rPr>
          <w:rStyle w:val="normaltextrun"/>
          <w:rFonts w:ascii="Arial" w:hAnsi="Arial" w:cs="Arial"/>
          <w:color w:val="000000"/>
          <w:sz w:val="22"/>
          <w:szCs w:val="22"/>
        </w:rPr>
        <w:t xml:space="preserve"> i docenti per assicurare un adeguato distanziamento degli appelli di esame </w:t>
      </w:r>
      <w:r w:rsidRPr="00357FCF">
        <w:rPr>
          <w:rStyle w:val="normaltextrun"/>
          <w:rFonts w:ascii="Arial" w:hAnsi="Arial" w:cs="Arial"/>
          <w:color w:val="000000"/>
          <w:sz w:val="22"/>
          <w:szCs w:val="22"/>
        </w:rPr>
        <w:t>ed intensificando il dialogo con i rappresentanti degli studenti per segnalare anomali</w:t>
      </w:r>
      <w:r w:rsidR="00C51336">
        <w:rPr>
          <w:rStyle w:val="normaltextrun"/>
          <w:rFonts w:ascii="Arial" w:hAnsi="Arial" w:cs="Arial"/>
          <w:color w:val="000000"/>
          <w:sz w:val="22"/>
          <w:szCs w:val="22"/>
        </w:rPr>
        <w:t>e</w:t>
      </w:r>
      <w:r w:rsidRPr="00357FCF">
        <w:rPr>
          <w:rStyle w:val="normaltextrun"/>
          <w:rFonts w:ascii="Arial" w:hAnsi="Arial" w:cs="Arial"/>
          <w:color w:val="000000"/>
          <w:sz w:val="22"/>
          <w:szCs w:val="22"/>
        </w:rPr>
        <w:t xml:space="preserve"> in questo senso</w:t>
      </w:r>
      <w:r w:rsidR="00F74A37" w:rsidRPr="00357FCF">
        <w:rPr>
          <w:rStyle w:val="normaltextrun"/>
          <w:rFonts w:ascii="Arial" w:hAnsi="Arial" w:cs="Arial"/>
          <w:color w:val="000000"/>
          <w:sz w:val="22"/>
          <w:szCs w:val="22"/>
        </w:rPr>
        <w:t>.</w:t>
      </w:r>
      <w:r w:rsidR="00F74A37" w:rsidRPr="00357FCF">
        <w:rPr>
          <w:rStyle w:val="eop"/>
          <w:rFonts w:ascii="Arial" w:hAnsi="Arial" w:cs="Arial"/>
          <w:color w:val="000000"/>
          <w:sz w:val="22"/>
          <w:szCs w:val="22"/>
        </w:rPr>
        <w:t> </w:t>
      </w:r>
    </w:p>
    <w:p w14:paraId="32A79FE5" w14:textId="77777777"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Stato di avanzamento:</w:t>
      </w:r>
      <w:r w:rsidRPr="00357FCF">
        <w:rPr>
          <w:rStyle w:val="eop"/>
          <w:rFonts w:ascii="Arial" w:hAnsi="Arial" w:cs="Arial"/>
          <w:color w:val="000000"/>
          <w:sz w:val="22"/>
          <w:szCs w:val="22"/>
        </w:rPr>
        <w:t> </w:t>
      </w:r>
    </w:p>
    <w:p w14:paraId="63ADD36E" w14:textId="2FE040CA"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sz w:val="22"/>
          <w:szCs w:val="22"/>
        </w:rPr>
        <w:t>Le azioni programmate sono state effettuate e proseguono. La soddisfazione complessiva resta elevata (iC25 pari all'89,0% nel 2025), ma gli indicatori di regolarità delle carriere mostrano ancora margini di miglioramento, in particolare per la laurea entro la durata normale e per gli abbandoni.</w:t>
      </w:r>
    </w:p>
    <w:p w14:paraId="567381F8" w14:textId="77777777"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Efficacia delle azioni intraprese:</w:t>
      </w:r>
      <w:r w:rsidRPr="00357FCF">
        <w:rPr>
          <w:rStyle w:val="eop"/>
          <w:rFonts w:ascii="Arial" w:hAnsi="Arial" w:cs="Arial"/>
          <w:color w:val="000000"/>
          <w:sz w:val="22"/>
          <w:szCs w:val="22"/>
        </w:rPr>
        <w:t> </w:t>
      </w:r>
    </w:p>
    <w:p w14:paraId="284DE9C7" w14:textId="74AC0F50" w:rsidR="00F74A37" w:rsidRPr="00357FCF" w:rsidRDefault="00473ABB"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sz w:val="22"/>
          <w:szCs w:val="22"/>
        </w:rPr>
        <w:lastRenderedPageBreak/>
        <w:t>Gli indicatori aggiornati mostrano un quadro misto ma con segnali positivi nelle fasi iniziali della carriera: iC01, iC13, iC14, iC15 e iC16 migliorano nell'ultima annualità disponibile. Restano invece critici l'andamento di iC02, in diminuzione, e di iC24, in aumento. Le azioni intraprese sono pertanto da proseguire, rafforzando il monitoraggio degli studenti a rischio di rallentamento o abbandono.</w:t>
      </w:r>
    </w:p>
    <w:p w14:paraId="5BB7CF06" w14:textId="40E11611"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Azioni da intraprendere:</w:t>
      </w:r>
      <w:r w:rsidRPr="00357FCF">
        <w:rPr>
          <w:rStyle w:val="eop"/>
          <w:rFonts w:ascii="Arial" w:hAnsi="Arial" w:cs="Arial"/>
          <w:color w:val="000000"/>
          <w:sz w:val="22"/>
          <w:szCs w:val="22"/>
        </w:rPr>
        <w:t> </w:t>
      </w:r>
    </w:p>
    <w:p w14:paraId="0210246B" w14:textId="48B2FEDA" w:rsidR="00F74A37" w:rsidRPr="00357FCF" w:rsidRDefault="003857D1" w:rsidP="00060F9E">
      <w:pPr>
        <w:pStyle w:val="paragraph"/>
        <w:spacing w:before="0" w:beforeAutospacing="0" w:after="0" w:afterAutospacing="0"/>
        <w:jc w:val="both"/>
        <w:textAlignment w:val="baseline"/>
        <w:rPr>
          <w:rStyle w:val="normaltextrun"/>
          <w:rFonts w:ascii="Arial" w:hAnsi="Arial" w:cs="Arial"/>
          <w:color w:val="000000"/>
          <w:sz w:val="22"/>
          <w:szCs w:val="22"/>
        </w:rPr>
      </w:pPr>
      <w:r w:rsidRPr="00357FCF">
        <w:rPr>
          <w:rStyle w:val="normaltextrun"/>
          <w:rFonts w:ascii="Arial" w:hAnsi="Arial" w:cs="Arial"/>
          <w:color w:val="000000" w:themeColor="text1"/>
          <w:sz w:val="22"/>
          <w:szCs w:val="22"/>
        </w:rPr>
        <w:t>Prosecuzione delle attività intraprese.</w:t>
      </w:r>
    </w:p>
    <w:p w14:paraId="1B9EEFEF" w14:textId="0EFBE199"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Modalità e risorse:</w:t>
      </w:r>
      <w:r w:rsidRPr="00357FCF">
        <w:rPr>
          <w:rStyle w:val="eop"/>
          <w:rFonts w:ascii="Arial" w:hAnsi="Arial" w:cs="Arial"/>
          <w:color w:val="000000"/>
          <w:sz w:val="22"/>
          <w:szCs w:val="22"/>
        </w:rPr>
        <w:t> </w:t>
      </w:r>
    </w:p>
    <w:p w14:paraId="09335821" w14:textId="64DB70A7" w:rsidR="00614726"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themeColor="text1"/>
          <w:sz w:val="22"/>
          <w:szCs w:val="22"/>
        </w:rPr>
        <w:t xml:space="preserve">Coordinatore del Corso di Studi e Responsabile della qualità della didattica </w:t>
      </w:r>
      <w:r w:rsidR="003857D1" w:rsidRPr="00357FCF">
        <w:rPr>
          <w:rStyle w:val="normaltextrun"/>
          <w:rFonts w:ascii="Arial" w:hAnsi="Arial" w:cs="Arial"/>
          <w:color w:val="000000" w:themeColor="text1"/>
          <w:sz w:val="22"/>
          <w:szCs w:val="22"/>
        </w:rPr>
        <w:t>contin</w:t>
      </w:r>
      <w:r w:rsidR="00614726" w:rsidRPr="00357FCF">
        <w:rPr>
          <w:rStyle w:val="normaltextrun"/>
          <w:rFonts w:ascii="Arial" w:hAnsi="Arial" w:cs="Arial"/>
          <w:color w:val="000000" w:themeColor="text1"/>
          <w:sz w:val="22"/>
          <w:szCs w:val="22"/>
        </w:rPr>
        <w:t>u</w:t>
      </w:r>
      <w:r w:rsidR="003857D1" w:rsidRPr="00357FCF">
        <w:rPr>
          <w:rStyle w:val="normaltextrun"/>
          <w:rFonts w:ascii="Arial" w:hAnsi="Arial" w:cs="Arial"/>
          <w:color w:val="000000" w:themeColor="text1"/>
          <w:sz w:val="22"/>
          <w:szCs w:val="22"/>
        </w:rPr>
        <w:t>eranno con l’</w:t>
      </w:r>
      <w:r w:rsidRPr="00357FCF">
        <w:rPr>
          <w:rStyle w:val="normaltextrun"/>
          <w:rFonts w:ascii="Arial" w:hAnsi="Arial" w:cs="Arial"/>
          <w:color w:val="000000" w:themeColor="text1"/>
          <w:sz w:val="22"/>
          <w:szCs w:val="22"/>
        </w:rPr>
        <w:t>organizz</w:t>
      </w:r>
      <w:r w:rsidR="003857D1" w:rsidRPr="00357FCF">
        <w:rPr>
          <w:rStyle w:val="normaltextrun"/>
          <w:rFonts w:ascii="Arial" w:hAnsi="Arial" w:cs="Arial"/>
          <w:color w:val="000000" w:themeColor="text1"/>
          <w:sz w:val="22"/>
          <w:szCs w:val="22"/>
        </w:rPr>
        <w:t>azione di</w:t>
      </w:r>
      <w:r w:rsidRPr="00357FCF">
        <w:rPr>
          <w:rStyle w:val="normaltextrun"/>
          <w:rFonts w:ascii="Arial" w:hAnsi="Arial" w:cs="Arial"/>
          <w:color w:val="000000" w:themeColor="text1"/>
          <w:sz w:val="22"/>
          <w:szCs w:val="22"/>
        </w:rPr>
        <w:t xml:space="preserve"> incontri periodici con gli studenti</w:t>
      </w:r>
      <w:r w:rsidR="003857D1" w:rsidRPr="00357FCF">
        <w:rPr>
          <w:rStyle w:val="normaltextrun"/>
          <w:rFonts w:ascii="Arial" w:hAnsi="Arial" w:cs="Arial"/>
          <w:color w:val="000000" w:themeColor="text1"/>
          <w:sz w:val="22"/>
          <w:szCs w:val="22"/>
        </w:rPr>
        <w:t xml:space="preserve"> e i laureandi e la somminist</w:t>
      </w:r>
      <w:r w:rsidR="00614726" w:rsidRPr="00357FCF">
        <w:rPr>
          <w:rStyle w:val="normaltextrun"/>
          <w:rFonts w:ascii="Arial" w:hAnsi="Arial" w:cs="Arial"/>
          <w:color w:val="000000" w:themeColor="text1"/>
          <w:sz w:val="22"/>
          <w:szCs w:val="22"/>
        </w:rPr>
        <w:t>r</w:t>
      </w:r>
      <w:r w:rsidR="003857D1" w:rsidRPr="00357FCF">
        <w:rPr>
          <w:rStyle w:val="normaltextrun"/>
          <w:rFonts w:ascii="Arial" w:hAnsi="Arial" w:cs="Arial"/>
          <w:color w:val="000000" w:themeColor="text1"/>
          <w:sz w:val="22"/>
          <w:szCs w:val="22"/>
        </w:rPr>
        <w:t xml:space="preserve">azione di </w:t>
      </w:r>
      <w:r w:rsidR="00F3472C">
        <w:rPr>
          <w:rStyle w:val="normaltextrun"/>
          <w:rFonts w:ascii="Arial" w:hAnsi="Arial" w:cs="Arial"/>
          <w:color w:val="000000" w:themeColor="text1"/>
          <w:sz w:val="22"/>
          <w:szCs w:val="22"/>
        </w:rPr>
        <w:t xml:space="preserve">un </w:t>
      </w:r>
      <w:r w:rsidRPr="00357FCF">
        <w:rPr>
          <w:rStyle w:val="normaltextrun"/>
          <w:rFonts w:ascii="Arial" w:hAnsi="Arial" w:cs="Arial"/>
          <w:color w:val="000000" w:themeColor="text1"/>
          <w:sz w:val="22"/>
          <w:szCs w:val="22"/>
        </w:rPr>
        <w:t xml:space="preserve">questionario </w:t>
      </w:r>
      <w:r w:rsidR="003857D1" w:rsidRPr="00357FCF">
        <w:rPr>
          <w:rStyle w:val="normaltextrun"/>
          <w:rFonts w:ascii="Arial" w:hAnsi="Arial" w:cs="Arial"/>
          <w:color w:val="000000" w:themeColor="text1"/>
          <w:sz w:val="22"/>
          <w:szCs w:val="22"/>
        </w:rPr>
        <w:t>per individuare</w:t>
      </w:r>
      <w:r w:rsidRPr="00357FCF">
        <w:rPr>
          <w:rStyle w:val="normaltextrun"/>
          <w:rFonts w:ascii="Arial" w:hAnsi="Arial" w:cs="Arial"/>
          <w:color w:val="000000" w:themeColor="text1"/>
          <w:sz w:val="22"/>
          <w:szCs w:val="22"/>
        </w:rPr>
        <w:t xml:space="preserve"> criticità</w:t>
      </w:r>
      <w:r w:rsidR="00217B66" w:rsidRPr="00357FCF">
        <w:rPr>
          <w:rStyle w:val="normaltextrun"/>
          <w:rFonts w:ascii="Arial" w:hAnsi="Arial" w:cs="Arial"/>
          <w:color w:val="000000" w:themeColor="text1"/>
          <w:sz w:val="22"/>
          <w:szCs w:val="22"/>
        </w:rPr>
        <w:t xml:space="preserve"> </w:t>
      </w:r>
      <w:r w:rsidR="00614726" w:rsidRPr="00357FCF">
        <w:rPr>
          <w:rStyle w:val="normaltextrun"/>
          <w:rFonts w:ascii="Arial" w:hAnsi="Arial" w:cs="Arial"/>
          <w:color w:val="000000" w:themeColor="text1"/>
          <w:sz w:val="22"/>
          <w:szCs w:val="22"/>
        </w:rPr>
        <w:t xml:space="preserve">da sottoporre </w:t>
      </w:r>
      <w:r w:rsidR="00FD7C97">
        <w:rPr>
          <w:rStyle w:val="normaltextrun"/>
          <w:rFonts w:ascii="Arial" w:hAnsi="Arial" w:cs="Arial"/>
          <w:color w:val="000000" w:themeColor="text1"/>
          <w:sz w:val="22"/>
          <w:szCs w:val="22"/>
        </w:rPr>
        <w:t>al Gruppo del Riesame Ciclico.</w:t>
      </w:r>
      <w:r w:rsidRPr="00357FCF">
        <w:rPr>
          <w:rStyle w:val="eop"/>
          <w:rFonts w:ascii="Arial" w:hAnsi="Arial" w:cs="Arial"/>
          <w:color w:val="000000" w:themeColor="text1"/>
          <w:sz w:val="22"/>
          <w:szCs w:val="22"/>
        </w:rPr>
        <w:t> </w:t>
      </w:r>
    </w:p>
    <w:p w14:paraId="61C00135" w14:textId="77777777"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b/>
          <w:bCs/>
          <w:color w:val="000000"/>
          <w:sz w:val="22"/>
          <w:szCs w:val="22"/>
        </w:rPr>
        <w:t>Responsabilità:</w:t>
      </w:r>
      <w:r w:rsidRPr="00357FCF">
        <w:rPr>
          <w:rStyle w:val="eop"/>
          <w:rFonts w:ascii="Arial" w:hAnsi="Arial" w:cs="Arial"/>
          <w:color w:val="000000"/>
          <w:sz w:val="22"/>
          <w:szCs w:val="22"/>
        </w:rPr>
        <w:t> </w:t>
      </w:r>
    </w:p>
    <w:p w14:paraId="1DFB4338" w14:textId="2FC7F14F" w:rsidR="00F74A37" w:rsidRPr="00357FCF" w:rsidRDefault="00F74A37" w:rsidP="00060F9E">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sz w:val="22"/>
          <w:szCs w:val="22"/>
        </w:rPr>
        <w:t>Coordinatore </w:t>
      </w:r>
      <w:proofErr w:type="spellStart"/>
      <w:r w:rsidRPr="00357FCF">
        <w:rPr>
          <w:rStyle w:val="normaltextrun"/>
          <w:rFonts w:ascii="Arial" w:hAnsi="Arial" w:cs="Arial"/>
          <w:color w:val="000000"/>
          <w:sz w:val="22"/>
          <w:szCs w:val="22"/>
        </w:rPr>
        <w:t>CdS</w:t>
      </w:r>
      <w:proofErr w:type="spellEnd"/>
      <w:r w:rsidRPr="00357FCF">
        <w:rPr>
          <w:rStyle w:val="normaltextrun"/>
          <w:rFonts w:ascii="Arial" w:hAnsi="Arial" w:cs="Arial"/>
          <w:color w:val="000000"/>
          <w:sz w:val="22"/>
          <w:szCs w:val="22"/>
        </w:rPr>
        <w:t xml:space="preserve"> e </w:t>
      </w:r>
      <w:r w:rsidR="00FD7C97">
        <w:rPr>
          <w:rStyle w:val="normaltextrun"/>
          <w:rFonts w:ascii="Arial" w:hAnsi="Arial" w:cs="Arial"/>
          <w:color w:val="000000" w:themeColor="text1"/>
          <w:sz w:val="22"/>
          <w:szCs w:val="22"/>
        </w:rPr>
        <w:t>Gruppo del Riesame Ciclico</w:t>
      </w:r>
      <w:r w:rsidR="00FD7C97" w:rsidRPr="00357FCF">
        <w:rPr>
          <w:rStyle w:val="eop"/>
          <w:rFonts w:ascii="Arial" w:hAnsi="Arial" w:cs="Arial"/>
          <w:color w:val="000000" w:themeColor="text1"/>
          <w:sz w:val="22"/>
          <w:szCs w:val="22"/>
        </w:rPr>
        <w:t>.</w:t>
      </w:r>
      <w:r w:rsidRPr="00357FCF">
        <w:rPr>
          <w:rStyle w:val="eop"/>
          <w:rFonts w:ascii="Arial" w:hAnsi="Arial" w:cs="Arial"/>
          <w:color w:val="000000"/>
          <w:sz w:val="22"/>
          <w:szCs w:val="22"/>
        </w:rPr>
        <w:t> </w:t>
      </w:r>
    </w:p>
    <w:p w14:paraId="02385DC2" w14:textId="77777777" w:rsidR="00594A76" w:rsidRPr="00F0727B" w:rsidRDefault="00594A76" w:rsidP="00060F9E">
      <w:pPr>
        <w:jc w:val="both"/>
        <w:rPr>
          <w:rFonts w:ascii="Arial" w:hAnsi="Arial" w:cs="Arial"/>
          <w:b/>
          <w:color w:val="000000"/>
          <w:sz w:val="22"/>
          <w:szCs w:val="22"/>
        </w:rPr>
      </w:pPr>
    </w:p>
    <w:p w14:paraId="2B8E98BD" w14:textId="3D588ACF" w:rsidR="00055D05" w:rsidRPr="002435B5" w:rsidRDefault="00055D05" w:rsidP="00060F9E">
      <w:pPr>
        <w:jc w:val="both"/>
        <w:rPr>
          <w:rFonts w:ascii="Arial" w:hAnsi="Arial" w:cs="Arial"/>
          <w:b/>
          <w:color w:val="000000"/>
          <w:sz w:val="22"/>
          <w:szCs w:val="22"/>
        </w:rPr>
      </w:pPr>
      <w:r w:rsidRPr="002435B5">
        <w:rPr>
          <w:rFonts w:ascii="Arial" w:hAnsi="Arial" w:cs="Arial"/>
          <w:b/>
          <w:color w:val="000000"/>
          <w:sz w:val="22"/>
          <w:szCs w:val="22"/>
        </w:rPr>
        <w:t>Obiettivo n.3 (Obiettivo n.3 SMA 2025)</w:t>
      </w:r>
    </w:p>
    <w:p w14:paraId="18865B70" w14:textId="77777777" w:rsidR="00055D05" w:rsidRPr="002435B5" w:rsidRDefault="00055D05" w:rsidP="00060F9E">
      <w:pPr>
        <w:jc w:val="both"/>
        <w:rPr>
          <w:rFonts w:ascii="Arial" w:hAnsi="Arial" w:cs="Arial"/>
          <w:color w:val="000000"/>
          <w:sz w:val="22"/>
          <w:szCs w:val="22"/>
        </w:rPr>
      </w:pPr>
      <w:r w:rsidRPr="002435B5">
        <w:rPr>
          <w:rFonts w:ascii="Arial" w:hAnsi="Arial" w:cs="Arial"/>
          <w:color w:val="000000"/>
          <w:sz w:val="22"/>
          <w:szCs w:val="22"/>
        </w:rPr>
        <w:t>Potenziare e monitorare le azioni di tutoraggio in ingresso e in itinere per gli studenti del primo anno.</w:t>
      </w:r>
    </w:p>
    <w:p w14:paraId="756E9AD2" w14:textId="77777777" w:rsidR="00055D05" w:rsidRPr="002435B5" w:rsidRDefault="00055D05" w:rsidP="00060F9E">
      <w:pPr>
        <w:jc w:val="both"/>
        <w:rPr>
          <w:rFonts w:ascii="Arial" w:hAnsi="Arial" w:cs="Arial"/>
          <w:b/>
          <w:color w:val="000000"/>
          <w:sz w:val="22"/>
          <w:szCs w:val="22"/>
        </w:rPr>
      </w:pPr>
      <w:r w:rsidRPr="002435B5">
        <w:rPr>
          <w:rFonts w:ascii="Arial" w:hAnsi="Arial" w:cs="Arial"/>
          <w:b/>
          <w:color w:val="000000"/>
          <w:sz w:val="22"/>
          <w:szCs w:val="22"/>
        </w:rPr>
        <w:t xml:space="preserve">Azioni </w:t>
      </w:r>
      <w:r w:rsidR="00F8651C" w:rsidRPr="002435B5">
        <w:rPr>
          <w:rFonts w:ascii="Arial" w:hAnsi="Arial" w:cs="Arial"/>
          <w:b/>
          <w:color w:val="000000"/>
          <w:sz w:val="22"/>
          <w:szCs w:val="22"/>
        </w:rPr>
        <w:t xml:space="preserve">di miglioramento </w:t>
      </w:r>
      <w:r w:rsidRPr="002435B5">
        <w:rPr>
          <w:rFonts w:ascii="Arial" w:hAnsi="Arial" w:cs="Arial"/>
          <w:b/>
          <w:color w:val="000000"/>
          <w:sz w:val="22"/>
          <w:szCs w:val="22"/>
        </w:rPr>
        <w:t xml:space="preserve">intraprese: </w:t>
      </w:r>
    </w:p>
    <w:p w14:paraId="2F3660E7" w14:textId="7B1A94C1" w:rsidR="00E24DDA" w:rsidRPr="002435B5" w:rsidRDefault="00E24DDA" w:rsidP="00060F9E">
      <w:pPr>
        <w:jc w:val="both"/>
        <w:rPr>
          <w:rFonts w:ascii="Arial" w:hAnsi="Arial" w:cs="Arial"/>
          <w:sz w:val="22"/>
          <w:szCs w:val="22"/>
        </w:rPr>
      </w:pPr>
      <w:r w:rsidRPr="002435B5">
        <w:rPr>
          <w:rFonts w:ascii="Arial" w:hAnsi="Arial" w:cs="Arial"/>
          <w:sz w:val="22"/>
          <w:szCs w:val="22"/>
        </w:rPr>
        <w:t xml:space="preserve">Il </w:t>
      </w:r>
      <w:proofErr w:type="spellStart"/>
      <w:r w:rsidRPr="002435B5">
        <w:rPr>
          <w:rFonts w:ascii="Arial" w:hAnsi="Arial" w:cs="Arial"/>
          <w:sz w:val="22"/>
          <w:szCs w:val="22"/>
        </w:rPr>
        <w:t>CdS</w:t>
      </w:r>
      <w:proofErr w:type="spellEnd"/>
      <w:r w:rsidRPr="002435B5">
        <w:rPr>
          <w:rFonts w:ascii="Arial" w:hAnsi="Arial" w:cs="Arial"/>
          <w:sz w:val="22"/>
          <w:szCs w:val="22"/>
        </w:rPr>
        <w:t xml:space="preserve"> prosegue nelle azioni di tutoraggio all’ingresso e in itinere adottate nei precedenti anni accademici per rispondere alle criticità emerse riguardanti soprattutto il primo anno del </w:t>
      </w:r>
      <w:proofErr w:type="spellStart"/>
      <w:r w:rsidRPr="002435B5">
        <w:rPr>
          <w:rFonts w:ascii="Arial" w:hAnsi="Arial" w:cs="Arial"/>
          <w:sz w:val="22"/>
          <w:szCs w:val="22"/>
        </w:rPr>
        <w:t>CdL</w:t>
      </w:r>
      <w:proofErr w:type="spellEnd"/>
      <w:r w:rsidRPr="002435B5">
        <w:rPr>
          <w:rFonts w:ascii="Arial" w:hAnsi="Arial" w:cs="Arial"/>
          <w:sz w:val="22"/>
          <w:szCs w:val="22"/>
        </w:rPr>
        <w:t xml:space="preserve">. </w:t>
      </w:r>
    </w:p>
    <w:p w14:paraId="54304613" w14:textId="4A716A91" w:rsidR="00E24DDA" w:rsidRPr="002435B5" w:rsidRDefault="00E24DDA" w:rsidP="00060F9E">
      <w:pPr>
        <w:jc w:val="both"/>
        <w:rPr>
          <w:rFonts w:ascii="Arial" w:hAnsi="Arial" w:cs="Arial"/>
          <w:sz w:val="22"/>
          <w:szCs w:val="22"/>
        </w:rPr>
      </w:pPr>
      <w:r w:rsidRPr="002435B5">
        <w:rPr>
          <w:rFonts w:ascii="Arial" w:hAnsi="Arial" w:cs="Arial"/>
          <w:sz w:val="22"/>
          <w:szCs w:val="22"/>
        </w:rPr>
        <w:t xml:space="preserve">Per favorire l’orientamento in ingresso il </w:t>
      </w:r>
      <w:proofErr w:type="spellStart"/>
      <w:r w:rsidRPr="002435B5">
        <w:rPr>
          <w:rFonts w:ascii="Arial" w:hAnsi="Arial" w:cs="Arial"/>
          <w:sz w:val="22"/>
          <w:szCs w:val="22"/>
        </w:rPr>
        <w:t>CdS</w:t>
      </w:r>
      <w:proofErr w:type="spellEnd"/>
      <w:r w:rsidRPr="002435B5">
        <w:rPr>
          <w:rFonts w:ascii="Arial" w:hAnsi="Arial" w:cs="Arial"/>
          <w:sz w:val="22"/>
          <w:szCs w:val="22"/>
        </w:rPr>
        <w:t xml:space="preserve"> </w:t>
      </w:r>
      <w:r w:rsidR="00EA0F17" w:rsidRPr="002435B5">
        <w:rPr>
          <w:rFonts w:ascii="Arial" w:hAnsi="Arial" w:cs="Arial"/>
          <w:sz w:val="22"/>
          <w:szCs w:val="22"/>
        </w:rPr>
        <w:t>tiene a</w:t>
      </w:r>
      <w:r w:rsidRPr="002435B5">
        <w:rPr>
          <w:rFonts w:ascii="Arial" w:hAnsi="Arial" w:cs="Arial"/>
          <w:sz w:val="22"/>
          <w:szCs w:val="22"/>
        </w:rPr>
        <w:t>ggiornat</w:t>
      </w:r>
      <w:r w:rsidR="00EA0F17" w:rsidRPr="002435B5">
        <w:rPr>
          <w:rFonts w:ascii="Arial" w:hAnsi="Arial" w:cs="Arial"/>
          <w:sz w:val="22"/>
          <w:szCs w:val="22"/>
        </w:rPr>
        <w:t xml:space="preserve">i i </w:t>
      </w:r>
      <w:r w:rsidR="00391C14">
        <w:rPr>
          <w:rFonts w:ascii="Arial" w:hAnsi="Arial" w:cs="Arial"/>
          <w:sz w:val="22"/>
          <w:szCs w:val="22"/>
        </w:rPr>
        <w:t>di comunicazione</w:t>
      </w:r>
      <w:r w:rsidR="00EA0F17" w:rsidRPr="002435B5">
        <w:rPr>
          <w:rFonts w:ascii="Arial" w:hAnsi="Arial" w:cs="Arial"/>
          <w:sz w:val="22"/>
          <w:szCs w:val="22"/>
        </w:rPr>
        <w:t xml:space="preserve"> istituzional</w:t>
      </w:r>
      <w:r w:rsidR="00391C14">
        <w:rPr>
          <w:rFonts w:ascii="Arial" w:hAnsi="Arial" w:cs="Arial"/>
          <w:sz w:val="22"/>
          <w:szCs w:val="22"/>
        </w:rPr>
        <w:t>i</w:t>
      </w:r>
      <w:r w:rsidR="00EA0F17" w:rsidRPr="002435B5">
        <w:rPr>
          <w:rFonts w:ascii="Arial" w:hAnsi="Arial" w:cs="Arial"/>
          <w:sz w:val="22"/>
          <w:szCs w:val="22"/>
        </w:rPr>
        <w:t xml:space="preserve"> e </w:t>
      </w:r>
      <w:r w:rsidR="00F0727B" w:rsidRPr="002435B5">
        <w:rPr>
          <w:rFonts w:ascii="Arial" w:hAnsi="Arial" w:cs="Arial"/>
          <w:sz w:val="22"/>
          <w:szCs w:val="22"/>
        </w:rPr>
        <w:t xml:space="preserve">le informazioni utili sul sito della macroarea di Ingegneria e di Ateneo </w:t>
      </w:r>
      <w:r w:rsidRPr="002435B5">
        <w:rPr>
          <w:rFonts w:ascii="Arial" w:hAnsi="Arial" w:cs="Arial"/>
          <w:sz w:val="22"/>
          <w:szCs w:val="22"/>
        </w:rPr>
        <w:t xml:space="preserve">con descrizione </w:t>
      </w:r>
      <w:r w:rsidR="00F0727B" w:rsidRPr="002435B5">
        <w:rPr>
          <w:rFonts w:ascii="Arial" w:hAnsi="Arial" w:cs="Arial"/>
          <w:sz w:val="22"/>
          <w:szCs w:val="22"/>
        </w:rPr>
        <w:t xml:space="preserve">e schede </w:t>
      </w:r>
      <w:r w:rsidRPr="002435B5">
        <w:rPr>
          <w:rFonts w:ascii="Arial" w:hAnsi="Arial" w:cs="Arial"/>
          <w:sz w:val="22"/>
          <w:szCs w:val="22"/>
        </w:rPr>
        <w:t>degli insegnamenti</w:t>
      </w:r>
      <w:r w:rsidR="00F0727B" w:rsidRPr="002435B5">
        <w:rPr>
          <w:rFonts w:ascii="Arial" w:hAnsi="Arial" w:cs="Arial"/>
          <w:sz w:val="22"/>
          <w:szCs w:val="22"/>
        </w:rPr>
        <w:t xml:space="preserve">, </w:t>
      </w:r>
      <w:r w:rsidR="00A57312" w:rsidRPr="002435B5">
        <w:rPr>
          <w:rFonts w:ascii="Arial" w:hAnsi="Arial" w:cs="Arial"/>
          <w:sz w:val="22"/>
          <w:szCs w:val="22"/>
        </w:rPr>
        <w:t>istruzioni per l</w:t>
      </w:r>
      <w:r w:rsidR="000630DE" w:rsidRPr="002435B5">
        <w:rPr>
          <w:rFonts w:ascii="Arial" w:hAnsi="Arial" w:cs="Arial"/>
          <w:sz w:val="22"/>
          <w:szCs w:val="22"/>
        </w:rPr>
        <w:t xml:space="preserve">e </w:t>
      </w:r>
      <w:r w:rsidR="00A57312" w:rsidRPr="002435B5">
        <w:rPr>
          <w:rFonts w:ascii="Arial" w:hAnsi="Arial" w:cs="Arial"/>
          <w:sz w:val="22"/>
          <w:szCs w:val="22"/>
        </w:rPr>
        <w:t>immatricolazion</w:t>
      </w:r>
      <w:r w:rsidR="000630DE" w:rsidRPr="002435B5">
        <w:rPr>
          <w:rFonts w:ascii="Arial" w:hAnsi="Arial" w:cs="Arial"/>
          <w:sz w:val="22"/>
          <w:szCs w:val="22"/>
        </w:rPr>
        <w:t>i</w:t>
      </w:r>
      <w:r w:rsidRPr="002435B5">
        <w:rPr>
          <w:rFonts w:ascii="Arial" w:hAnsi="Arial" w:cs="Arial"/>
          <w:sz w:val="22"/>
          <w:szCs w:val="22"/>
        </w:rPr>
        <w:t xml:space="preserve"> e altre informazioni utili, tra cui la presentazione del </w:t>
      </w:r>
      <w:proofErr w:type="spellStart"/>
      <w:r w:rsidRPr="002435B5">
        <w:rPr>
          <w:rFonts w:ascii="Arial" w:hAnsi="Arial" w:cs="Arial"/>
          <w:sz w:val="22"/>
          <w:szCs w:val="22"/>
        </w:rPr>
        <w:t>CdL</w:t>
      </w:r>
      <w:proofErr w:type="spellEnd"/>
      <w:r w:rsidRPr="002435B5">
        <w:rPr>
          <w:rFonts w:ascii="Arial" w:hAnsi="Arial" w:cs="Arial"/>
          <w:sz w:val="22"/>
          <w:szCs w:val="22"/>
        </w:rPr>
        <w:t xml:space="preserve"> e </w:t>
      </w:r>
      <w:r w:rsidR="00081F3F" w:rsidRPr="002435B5">
        <w:rPr>
          <w:rFonts w:ascii="Arial" w:hAnsi="Arial" w:cs="Arial"/>
          <w:sz w:val="22"/>
          <w:szCs w:val="22"/>
        </w:rPr>
        <w:t xml:space="preserve">le </w:t>
      </w:r>
      <w:r w:rsidRPr="002435B5">
        <w:rPr>
          <w:rFonts w:ascii="Arial" w:hAnsi="Arial" w:cs="Arial"/>
          <w:sz w:val="22"/>
          <w:szCs w:val="22"/>
        </w:rPr>
        <w:t xml:space="preserve">informazioni relative alle conoscenze richieste in ingresso e al recupero delle carenze. </w:t>
      </w:r>
    </w:p>
    <w:p w14:paraId="5AFD1DAB" w14:textId="3804E19F" w:rsidR="00E24DDA" w:rsidRPr="002435B5" w:rsidRDefault="00E24DDA" w:rsidP="00060F9E">
      <w:pPr>
        <w:jc w:val="both"/>
        <w:rPr>
          <w:rFonts w:ascii="Arial" w:hAnsi="Arial" w:cs="Arial"/>
          <w:sz w:val="22"/>
          <w:szCs w:val="22"/>
        </w:rPr>
      </w:pPr>
      <w:r w:rsidRPr="002435B5">
        <w:rPr>
          <w:rFonts w:ascii="Arial" w:hAnsi="Arial" w:cs="Arial"/>
          <w:sz w:val="22"/>
          <w:szCs w:val="22"/>
        </w:rPr>
        <w:t>Sono stati riproposti i precorsi per gli studenti del primo anno, confermate le attività di tutoraggio per i corsi del primo anno (Analisi Matematica I, Chimica, Fisica Generale I, Geometria e Fondamenti di Informatica)</w:t>
      </w:r>
      <w:r w:rsidR="00CB09E5">
        <w:rPr>
          <w:rFonts w:ascii="Arial" w:hAnsi="Arial" w:cs="Arial"/>
          <w:sz w:val="22"/>
          <w:szCs w:val="22"/>
        </w:rPr>
        <w:t>.</w:t>
      </w:r>
      <w:r w:rsidRPr="002435B5">
        <w:rPr>
          <w:rFonts w:ascii="Arial" w:hAnsi="Arial" w:cs="Arial"/>
          <w:sz w:val="22"/>
          <w:szCs w:val="22"/>
        </w:rPr>
        <w:t xml:space="preserve"> </w:t>
      </w:r>
      <w:r w:rsidR="004D0370">
        <w:rPr>
          <w:rFonts w:ascii="Arial" w:hAnsi="Arial" w:cs="Arial"/>
          <w:sz w:val="22"/>
          <w:szCs w:val="22"/>
        </w:rPr>
        <w:t xml:space="preserve">I coordinatori dei vari </w:t>
      </w:r>
      <w:proofErr w:type="spellStart"/>
      <w:r w:rsidR="004D0370">
        <w:rPr>
          <w:rFonts w:ascii="Arial" w:hAnsi="Arial" w:cs="Arial"/>
          <w:sz w:val="22"/>
          <w:szCs w:val="22"/>
        </w:rPr>
        <w:t>CdS</w:t>
      </w:r>
      <w:proofErr w:type="spellEnd"/>
      <w:r w:rsidR="004D0370">
        <w:rPr>
          <w:rFonts w:ascii="Arial" w:hAnsi="Arial" w:cs="Arial"/>
          <w:sz w:val="22"/>
          <w:szCs w:val="22"/>
        </w:rPr>
        <w:t xml:space="preserve"> di lauree triennali </w:t>
      </w:r>
      <w:r w:rsidR="00CF2C7A">
        <w:rPr>
          <w:rFonts w:ascii="Arial" w:hAnsi="Arial" w:cs="Arial"/>
          <w:sz w:val="22"/>
          <w:szCs w:val="22"/>
        </w:rPr>
        <w:t>hanno provveduto ad istituire un tavolo di lavoro period</w:t>
      </w:r>
      <w:r w:rsidR="0050086B">
        <w:rPr>
          <w:rFonts w:ascii="Arial" w:hAnsi="Arial" w:cs="Arial"/>
          <w:sz w:val="22"/>
          <w:szCs w:val="22"/>
        </w:rPr>
        <w:t>ico</w:t>
      </w:r>
      <w:r w:rsidR="00CF2C7A">
        <w:rPr>
          <w:rFonts w:ascii="Arial" w:hAnsi="Arial" w:cs="Arial"/>
          <w:sz w:val="22"/>
          <w:szCs w:val="22"/>
        </w:rPr>
        <w:t xml:space="preserve"> per monitorare l’andamento degli esami di base comuni e allo stesso tempo attraverso un dialogo con i docenti di tali materie </w:t>
      </w:r>
      <w:r w:rsidR="00AF1B90">
        <w:rPr>
          <w:rFonts w:ascii="Arial" w:hAnsi="Arial" w:cs="Arial"/>
          <w:sz w:val="22"/>
          <w:szCs w:val="22"/>
        </w:rPr>
        <w:t xml:space="preserve">stanno modificando alcuni aspetti relativi ai programmi e alle modalità di svolgimento delle prove finali. </w:t>
      </w:r>
      <w:r w:rsidR="00391C14">
        <w:rPr>
          <w:rFonts w:ascii="Arial" w:hAnsi="Arial" w:cs="Arial"/>
          <w:sz w:val="22"/>
          <w:szCs w:val="22"/>
        </w:rPr>
        <w:t xml:space="preserve">Inoltre, è stata istituta la settimana degli esoneri dal 23 novembre al 27 novembre 2026 per gli esami del primo anno. </w:t>
      </w:r>
    </w:p>
    <w:p w14:paraId="3B681000" w14:textId="77777777" w:rsidR="00F8651C" w:rsidRPr="002435B5" w:rsidRDefault="00F8651C" w:rsidP="00060F9E">
      <w:pPr>
        <w:jc w:val="both"/>
        <w:rPr>
          <w:rFonts w:ascii="Arial" w:hAnsi="Arial" w:cs="Arial"/>
          <w:b/>
          <w:color w:val="000000"/>
          <w:sz w:val="22"/>
          <w:szCs w:val="22"/>
        </w:rPr>
      </w:pPr>
      <w:r w:rsidRPr="21EC80E0">
        <w:rPr>
          <w:rFonts w:ascii="Arial" w:hAnsi="Arial" w:cs="Arial"/>
          <w:b/>
          <w:color w:val="000000" w:themeColor="text1"/>
          <w:sz w:val="22"/>
          <w:szCs w:val="22"/>
        </w:rPr>
        <w:t>Stato di avanzamento:</w:t>
      </w:r>
    </w:p>
    <w:p w14:paraId="4B4256D6" w14:textId="112610C7" w:rsidR="0EA8ABEE" w:rsidRDefault="0EA8ABEE" w:rsidP="21EC80E0">
      <w:pPr>
        <w:jc w:val="both"/>
        <w:rPr>
          <w:rFonts w:ascii="Arial" w:eastAsia="Arial" w:hAnsi="Arial" w:cs="Arial"/>
          <w:color w:val="000000" w:themeColor="text1"/>
          <w:sz w:val="22"/>
          <w:szCs w:val="22"/>
        </w:rPr>
      </w:pPr>
      <w:r w:rsidRPr="21EC80E0">
        <w:rPr>
          <w:rFonts w:ascii="Arial" w:eastAsia="Arial" w:hAnsi="Arial" w:cs="Arial"/>
          <w:sz w:val="22"/>
          <w:szCs w:val="22"/>
        </w:rPr>
        <w:t xml:space="preserve">Le azioni sono sempre in essere e in monitoraggio e quindi il </w:t>
      </w:r>
      <w:proofErr w:type="spellStart"/>
      <w:r w:rsidRPr="21EC80E0">
        <w:rPr>
          <w:rFonts w:ascii="Arial" w:eastAsia="Arial" w:hAnsi="Arial" w:cs="Arial"/>
          <w:sz w:val="22"/>
          <w:szCs w:val="22"/>
        </w:rPr>
        <w:t>CdS</w:t>
      </w:r>
      <w:proofErr w:type="spellEnd"/>
      <w:r w:rsidRPr="21EC80E0">
        <w:rPr>
          <w:rFonts w:ascii="Arial" w:eastAsia="Arial" w:hAnsi="Arial" w:cs="Arial"/>
          <w:sz w:val="22"/>
          <w:szCs w:val="22"/>
        </w:rPr>
        <w:t xml:space="preserve"> le ripropone ciclicamente.</w:t>
      </w:r>
    </w:p>
    <w:p w14:paraId="3C147700" w14:textId="77777777" w:rsidR="00F8651C" w:rsidRPr="002435B5" w:rsidRDefault="00F8651C" w:rsidP="00060F9E">
      <w:pPr>
        <w:jc w:val="both"/>
        <w:rPr>
          <w:rFonts w:ascii="Arial" w:hAnsi="Arial" w:cs="Arial"/>
          <w:b/>
          <w:sz w:val="22"/>
          <w:szCs w:val="22"/>
        </w:rPr>
      </w:pPr>
      <w:r w:rsidRPr="002435B5">
        <w:rPr>
          <w:rFonts w:ascii="Arial" w:hAnsi="Arial" w:cs="Arial"/>
          <w:b/>
          <w:sz w:val="22"/>
          <w:szCs w:val="22"/>
        </w:rPr>
        <w:t xml:space="preserve">Efficacia delle azioni </w:t>
      </w:r>
      <w:r w:rsidR="004F0643" w:rsidRPr="002435B5">
        <w:rPr>
          <w:rFonts w:ascii="Arial" w:hAnsi="Arial" w:cs="Arial"/>
          <w:b/>
          <w:sz w:val="22"/>
          <w:szCs w:val="22"/>
        </w:rPr>
        <w:t>intraprese</w:t>
      </w:r>
      <w:r w:rsidRPr="002435B5">
        <w:rPr>
          <w:rFonts w:ascii="Arial" w:hAnsi="Arial" w:cs="Arial"/>
          <w:b/>
          <w:sz w:val="22"/>
          <w:szCs w:val="22"/>
        </w:rPr>
        <w:t>:</w:t>
      </w:r>
    </w:p>
    <w:p w14:paraId="7F4FFB1B" w14:textId="309E9940" w:rsidR="00014F32" w:rsidRPr="00357FCF" w:rsidRDefault="00014F32" w:rsidP="00014F32">
      <w:pPr>
        <w:pStyle w:val="paragraph"/>
        <w:spacing w:before="0" w:beforeAutospacing="0" w:after="0" w:afterAutospacing="0"/>
        <w:jc w:val="both"/>
        <w:textAlignment w:val="baseline"/>
        <w:rPr>
          <w:rFonts w:ascii="Arial" w:hAnsi="Arial" w:cs="Arial"/>
          <w:sz w:val="22"/>
          <w:szCs w:val="22"/>
        </w:rPr>
      </w:pPr>
      <w:r w:rsidRPr="00357FCF">
        <w:rPr>
          <w:rStyle w:val="normaltextrun"/>
          <w:rFonts w:ascii="Arial" w:hAnsi="Arial" w:cs="Arial"/>
          <w:color w:val="000000"/>
          <w:sz w:val="22"/>
          <w:szCs w:val="22"/>
        </w:rPr>
        <w:t>Gli indicatori relativi al primo anno e alla prosecuzione mostrano segnali di miglioramento: iC01 sale al 38,9%, iC13 al 34,6%, iC15 al 45,7% e iC16 al 17,2% nell'ultima annualità disponibile. Permangono tuttavia distanze rispetto ai benchmark regionali e nazionali, soprattutto per l'acquisizione di almeno 40 CFU e per la prosecuzione regolare; si ritiene quindi opportuno mantenere e monitorare le azioni di tutoraggio.</w:t>
      </w:r>
    </w:p>
    <w:p w14:paraId="648215BD" w14:textId="77777777" w:rsidR="00F8651C" w:rsidRPr="002435B5" w:rsidRDefault="00E24DDA" w:rsidP="00060F9E">
      <w:pPr>
        <w:jc w:val="both"/>
        <w:rPr>
          <w:rFonts w:ascii="Arial" w:hAnsi="Arial" w:cs="Arial"/>
          <w:b/>
          <w:color w:val="000000"/>
          <w:sz w:val="22"/>
          <w:szCs w:val="22"/>
        </w:rPr>
      </w:pPr>
      <w:r w:rsidRPr="002435B5">
        <w:rPr>
          <w:rFonts w:ascii="Arial" w:hAnsi="Arial" w:cs="Arial"/>
          <w:b/>
          <w:color w:val="000000"/>
          <w:sz w:val="22"/>
          <w:szCs w:val="22"/>
        </w:rPr>
        <w:t>Azioni di miglioramento da intraprendere:</w:t>
      </w:r>
    </w:p>
    <w:p w14:paraId="6D88D48A" w14:textId="3A0DA317" w:rsidR="00E24DDA" w:rsidRPr="002435B5" w:rsidRDefault="00614726" w:rsidP="00060F9E">
      <w:pPr>
        <w:pStyle w:val="paragraph"/>
        <w:spacing w:before="0" w:beforeAutospacing="0" w:after="0" w:afterAutospacing="0"/>
        <w:jc w:val="both"/>
        <w:textAlignment w:val="baseline"/>
        <w:rPr>
          <w:rFonts w:ascii="Arial" w:hAnsi="Arial" w:cs="Arial"/>
          <w:sz w:val="22"/>
          <w:szCs w:val="22"/>
        </w:rPr>
      </w:pPr>
      <w:r w:rsidRPr="002435B5">
        <w:rPr>
          <w:rFonts w:ascii="Arial" w:hAnsi="Arial" w:cs="Arial"/>
          <w:sz w:val="22"/>
          <w:szCs w:val="22"/>
        </w:rPr>
        <w:t>Continuare con le azioni già intraprese.</w:t>
      </w:r>
    </w:p>
    <w:p w14:paraId="70EAB228" w14:textId="699E7E3A" w:rsidR="00055D05" w:rsidRPr="002435B5" w:rsidRDefault="00055D05" w:rsidP="00060F9E">
      <w:pPr>
        <w:jc w:val="both"/>
        <w:rPr>
          <w:rFonts w:ascii="Arial" w:hAnsi="Arial" w:cs="Arial"/>
          <w:sz w:val="22"/>
          <w:szCs w:val="22"/>
        </w:rPr>
      </w:pPr>
      <w:r w:rsidRPr="002435B5">
        <w:rPr>
          <w:rFonts w:ascii="Arial" w:hAnsi="Arial" w:cs="Arial"/>
          <w:b/>
          <w:color w:val="000000"/>
          <w:sz w:val="22"/>
          <w:szCs w:val="22"/>
        </w:rPr>
        <w:t xml:space="preserve">Modalità e risorse: </w:t>
      </w:r>
      <w:r w:rsidR="0050086B" w:rsidRPr="0050086B">
        <w:rPr>
          <w:rFonts w:ascii="Arial" w:hAnsi="Arial" w:cs="Arial"/>
          <w:bCs/>
          <w:color w:val="000000"/>
          <w:sz w:val="22"/>
          <w:szCs w:val="22"/>
        </w:rPr>
        <w:t>P</w:t>
      </w:r>
      <w:r w:rsidR="00614726" w:rsidRPr="002435B5">
        <w:rPr>
          <w:rFonts w:ascii="Arial" w:hAnsi="Arial" w:cs="Arial"/>
          <w:color w:val="000000"/>
          <w:sz w:val="22"/>
          <w:szCs w:val="22"/>
        </w:rPr>
        <w:t>rosecuzione con quelle utilizza</w:t>
      </w:r>
      <w:r w:rsidR="0050086B">
        <w:rPr>
          <w:rFonts w:ascii="Arial" w:hAnsi="Arial" w:cs="Arial"/>
          <w:color w:val="000000"/>
          <w:sz w:val="22"/>
          <w:szCs w:val="22"/>
        </w:rPr>
        <w:t>te</w:t>
      </w:r>
      <w:r w:rsidR="00614726" w:rsidRPr="002435B5">
        <w:rPr>
          <w:rFonts w:ascii="Arial" w:hAnsi="Arial" w:cs="Arial"/>
          <w:color w:val="000000"/>
          <w:sz w:val="22"/>
          <w:szCs w:val="22"/>
        </w:rPr>
        <w:t xml:space="preserve"> e descritte in precedenza.</w:t>
      </w:r>
    </w:p>
    <w:p w14:paraId="76C1A8E1" w14:textId="77777777" w:rsidR="00055D05" w:rsidRPr="002435B5" w:rsidRDefault="00055D05" w:rsidP="00060F9E">
      <w:pPr>
        <w:jc w:val="both"/>
        <w:rPr>
          <w:rFonts w:ascii="Arial" w:hAnsi="Arial" w:cs="Arial"/>
          <w:b/>
          <w:color w:val="000000"/>
          <w:sz w:val="22"/>
          <w:szCs w:val="22"/>
        </w:rPr>
      </w:pPr>
      <w:r w:rsidRPr="002435B5">
        <w:rPr>
          <w:rFonts w:ascii="Arial" w:hAnsi="Arial" w:cs="Arial"/>
          <w:b/>
          <w:color w:val="000000"/>
          <w:sz w:val="22"/>
          <w:szCs w:val="22"/>
        </w:rPr>
        <w:t xml:space="preserve">Scadenze previste e indicatori che misurino lo stato di avanzamento: </w:t>
      </w:r>
    </w:p>
    <w:p w14:paraId="7A488835" w14:textId="5659A94E" w:rsidR="00055D05" w:rsidRPr="002435B5" w:rsidRDefault="00055D05" w:rsidP="00060F9E">
      <w:pPr>
        <w:jc w:val="both"/>
        <w:rPr>
          <w:rFonts w:ascii="Arial" w:hAnsi="Arial" w:cs="Arial"/>
          <w:color w:val="000000"/>
          <w:sz w:val="22"/>
          <w:szCs w:val="22"/>
        </w:rPr>
      </w:pPr>
      <w:r w:rsidRPr="002435B5">
        <w:rPr>
          <w:rFonts w:ascii="Arial" w:hAnsi="Arial" w:cs="Arial"/>
          <w:color w:val="000000"/>
          <w:sz w:val="22"/>
          <w:szCs w:val="22"/>
        </w:rPr>
        <w:t>Scadenz</w:t>
      </w:r>
      <w:r w:rsidR="00217B66" w:rsidRPr="002435B5">
        <w:rPr>
          <w:rFonts w:ascii="Arial" w:hAnsi="Arial" w:cs="Arial"/>
          <w:color w:val="000000"/>
          <w:sz w:val="22"/>
          <w:szCs w:val="22"/>
        </w:rPr>
        <w:t>a</w:t>
      </w:r>
      <w:r w:rsidRPr="002435B5">
        <w:rPr>
          <w:rFonts w:ascii="Arial" w:hAnsi="Arial" w:cs="Arial"/>
          <w:color w:val="000000"/>
          <w:sz w:val="22"/>
          <w:szCs w:val="22"/>
        </w:rPr>
        <w:t xml:space="preserve"> </w:t>
      </w:r>
      <w:r w:rsidR="00217B66" w:rsidRPr="002435B5">
        <w:rPr>
          <w:rFonts w:ascii="Arial" w:hAnsi="Arial" w:cs="Arial"/>
          <w:color w:val="000000"/>
          <w:sz w:val="22"/>
          <w:szCs w:val="22"/>
        </w:rPr>
        <w:t>annuale</w:t>
      </w:r>
      <w:r w:rsidRPr="002435B5">
        <w:rPr>
          <w:rFonts w:ascii="Arial" w:hAnsi="Arial" w:cs="Arial"/>
          <w:color w:val="000000"/>
          <w:sz w:val="22"/>
          <w:szCs w:val="22"/>
        </w:rPr>
        <w:t>.</w:t>
      </w:r>
    </w:p>
    <w:p w14:paraId="4B9E5183" w14:textId="77D61D7A" w:rsidR="00055D05" w:rsidRPr="002435B5" w:rsidRDefault="00055D05" w:rsidP="00060F9E">
      <w:pPr>
        <w:jc w:val="both"/>
        <w:rPr>
          <w:rFonts w:ascii="Arial" w:hAnsi="Arial" w:cs="Arial"/>
          <w:color w:val="000000"/>
          <w:sz w:val="22"/>
          <w:szCs w:val="22"/>
        </w:rPr>
      </w:pPr>
      <w:r w:rsidRPr="002435B5">
        <w:rPr>
          <w:rFonts w:ascii="Arial" w:hAnsi="Arial" w:cs="Arial"/>
          <w:color w:val="000000"/>
          <w:sz w:val="22"/>
          <w:szCs w:val="22"/>
        </w:rPr>
        <w:t>Indicator</w:t>
      </w:r>
      <w:r w:rsidR="00614726" w:rsidRPr="002435B5">
        <w:rPr>
          <w:rFonts w:ascii="Arial" w:hAnsi="Arial" w:cs="Arial"/>
          <w:color w:val="000000"/>
          <w:sz w:val="22"/>
          <w:szCs w:val="22"/>
        </w:rPr>
        <w:t>i: Indicatori ANVUR</w:t>
      </w:r>
      <w:r w:rsidRPr="002435B5">
        <w:rPr>
          <w:rFonts w:ascii="Arial" w:hAnsi="Arial" w:cs="Arial"/>
          <w:color w:val="000000"/>
          <w:sz w:val="22"/>
          <w:szCs w:val="22"/>
        </w:rPr>
        <w:t xml:space="preserve"> </w:t>
      </w:r>
    </w:p>
    <w:p w14:paraId="13A9FCF6" w14:textId="77777777" w:rsidR="00055D05" w:rsidRPr="002435B5" w:rsidRDefault="00055D05" w:rsidP="00060F9E">
      <w:pPr>
        <w:jc w:val="both"/>
        <w:rPr>
          <w:rFonts w:ascii="Arial" w:hAnsi="Arial" w:cs="Arial"/>
          <w:b/>
          <w:color w:val="000000"/>
          <w:sz w:val="22"/>
          <w:szCs w:val="22"/>
        </w:rPr>
      </w:pPr>
      <w:r w:rsidRPr="002435B5">
        <w:rPr>
          <w:rFonts w:ascii="Arial" w:hAnsi="Arial" w:cs="Arial"/>
          <w:b/>
          <w:color w:val="000000"/>
          <w:sz w:val="22"/>
          <w:szCs w:val="22"/>
        </w:rPr>
        <w:t>Responsabilità:</w:t>
      </w:r>
    </w:p>
    <w:p w14:paraId="7B5A3232" w14:textId="77777777" w:rsidR="00055D05" w:rsidRPr="002435B5" w:rsidRDefault="00055D05" w:rsidP="00060F9E">
      <w:pPr>
        <w:autoSpaceDE w:val="0"/>
        <w:autoSpaceDN w:val="0"/>
        <w:adjustRightInd w:val="0"/>
        <w:jc w:val="both"/>
        <w:rPr>
          <w:rFonts w:ascii="Arial" w:hAnsi="Arial" w:cs="Arial"/>
          <w:sz w:val="22"/>
          <w:szCs w:val="22"/>
        </w:rPr>
      </w:pPr>
      <w:r w:rsidRPr="002435B5">
        <w:rPr>
          <w:rFonts w:ascii="Arial" w:hAnsi="Arial" w:cs="Arial"/>
          <w:sz w:val="22"/>
          <w:szCs w:val="22"/>
        </w:rPr>
        <w:t xml:space="preserve">Coordinatore del </w:t>
      </w:r>
      <w:proofErr w:type="spellStart"/>
      <w:r w:rsidRPr="002435B5">
        <w:rPr>
          <w:rFonts w:ascii="Arial" w:hAnsi="Arial" w:cs="Arial"/>
          <w:sz w:val="22"/>
          <w:szCs w:val="22"/>
        </w:rPr>
        <w:t>CdS</w:t>
      </w:r>
      <w:proofErr w:type="spellEnd"/>
      <w:r w:rsidRPr="002435B5">
        <w:rPr>
          <w:rFonts w:ascii="Arial" w:hAnsi="Arial" w:cs="Arial"/>
          <w:sz w:val="22"/>
          <w:szCs w:val="22"/>
        </w:rPr>
        <w:t>, Gruppo di Riesame e struttura di coordinamento della Macroarea di Ingegneria.</w:t>
      </w:r>
    </w:p>
    <w:p w14:paraId="4E449748" w14:textId="77777777" w:rsidR="00055D05" w:rsidRPr="00401AAA" w:rsidRDefault="00055D05" w:rsidP="00060F9E">
      <w:pPr>
        <w:jc w:val="both"/>
        <w:rPr>
          <w:rFonts w:ascii="Arial" w:hAnsi="Arial" w:cs="Arial"/>
          <w:b/>
          <w:sz w:val="22"/>
          <w:szCs w:val="22"/>
          <w:highlight w:val="yellow"/>
        </w:rPr>
      </w:pPr>
    </w:p>
    <w:p w14:paraId="78F501A4" w14:textId="5EC66842"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sz w:val="22"/>
          <w:szCs w:val="22"/>
        </w:rPr>
        <w:t>Obiettivo n. 4 (Obiettivo n.4 SMA 2025)</w:t>
      </w:r>
    </w:p>
    <w:p w14:paraId="6A4CEEC1"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sz w:val="22"/>
          <w:szCs w:val="22"/>
        </w:rPr>
        <w:t>Sviluppare la conoscenza del Sistema di Assicurazione Qualità del </w:t>
      </w:r>
      <w:proofErr w:type="spellStart"/>
      <w:r w:rsidRPr="005071DD">
        <w:rPr>
          <w:rStyle w:val="normaltextrun"/>
          <w:rFonts w:ascii="Arial" w:hAnsi="Arial" w:cs="Arial"/>
          <w:sz w:val="22"/>
          <w:szCs w:val="22"/>
        </w:rPr>
        <w:t>CdS</w:t>
      </w:r>
      <w:proofErr w:type="spellEnd"/>
      <w:r w:rsidRPr="005071DD">
        <w:rPr>
          <w:rStyle w:val="normaltextrun"/>
          <w:rFonts w:ascii="Arial" w:hAnsi="Arial" w:cs="Arial"/>
          <w:sz w:val="22"/>
          <w:szCs w:val="22"/>
        </w:rPr>
        <w:t> da parte di studenti e docenti</w:t>
      </w:r>
      <w:r w:rsidRPr="005071DD">
        <w:rPr>
          <w:rStyle w:val="eop"/>
          <w:rFonts w:ascii="Arial" w:hAnsi="Arial" w:cs="Arial"/>
          <w:sz w:val="22"/>
          <w:szCs w:val="22"/>
        </w:rPr>
        <w:t> </w:t>
      </w:r>
    </w:p>
    <w:p w14:paraId="05CC16DC"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color w:val="000000"/>
          <w:sz w:val="22"/>
          <w:szCs w:val="22"/>
        </w:rPr>
        <w:t>Azioni di miglioramento intraprese:</w:t>
      </w:r>
      <w:r w:rsidRPr="005071DD">
        <w:rPr>
          <w:rStyle w:val="eop"/>
          <w:rFonts w:ascii="Arial" w:hAnsi="Arial" w:cs="Arial"/>
          <w:color w:val="000000"/>
          <w:sz w:val="22"/>
          <w:szCs w:val="22"/>
        </w:rPr>
        <w:t> </w:t>
      </w:r>
    </w:p>
    <w:p w14:paraId="1490AFB1" w14:textId="0AE2D2A3" w:rsidR="00F74A37" w:rsidRPr="005071DD" w:rsidRDefault="00B023AA"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color w:val="000000"/>
          <w:sz w:val="22"/>
          <w:szCs w:val="22"/>
        </w:rPr>
        <w:t>Continua comunicazione tra il Coordinatore</w:t>
      </w:r>
      <w:r w:rsidR="00576A81">
        <w:rPr>
          <w:rStyle w:val="normaltextrun"/>
          <w:rFonts w:ascii="Arial" w:hAnsi="Arial" w:cs="Arial"/>
          <w:color w:val="000000"/>
          <w:sz w:val="22"/>
          <w:szCs w:val="22"/>
        </w:rPr>
        <w:t xml:space="preserve">, il </w:t>
      </w:r>
      <w:r w:rsidR="00576A81">
        <w:rPr>
          <w:rStyle w:val="normaltextrun"/>
          <w:rFonts w:ascii="Arial" w:hAnsi="Arial" w:cs="Arial"/>
          <w:color w:val="000000" w:themeColor="text1"/>
          <w:sz w:val="22"/>
          <w:szCs w:val="22"/>
        </w:rPr>
        <w:t>Gruppo del Riesame Ciclico, i</w:t>
      </w:r>
      <w:r w:rsidRPr="005071DD">
        <w:rPr>
          <w:rStyle w:val="normaltextrun"/>
          <w:rFonts w:ascii="Arial" w:hAnsi="Arial" w:cs="Arial"/>
          <w:color w:val="000000"/>
          <w:sz w:val="22"/>
          <w:szCs w:val="22"/>
        </w:rPr>
        <w:t xml:space="preserve"> docenti e </w:t>
      </w:r>
      <w:r w:rsidR="00576A81">
        <w:rPr>
          <w:rStyle w:val="normaltextrun"/>
          <w:rFonts w:ascii="Arial" w:hAnsi="Arial" w:cs="Arial"/>
          <w:color w:val="000000"/>
          <w:sz w:val="22"/>
          <w:szCs w:val="22"/>
        </w:rPr>
        <w:t xml:space="preserve">gli </w:t>
      </w:r>
      <w:r w:rsidRPr="005071DD">
        <w:rPr>
          <w:rStyle w:val="normaltextrun"/>
          <w:rFonts w:ascii="Arial" w:hAnsi="Arial" w:cs="Arial"/>
          <w:color w:val="000000"/>
          <w:sz w:val="22"/>
          <w:szCs w:val="22"/>
        </w:rPr>
        <w:t>studenti.</w:t>
      </w:r>
    </w:p>
    <w:p w14:paraId="539E351A"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color w:val="000000"/>
          <w:sz w:val="22"/>
          <w:szCs w:val="22"/>
        </w:rPr>
        <w:t>Stato di avanzamento:</w:t>
      </w:r>
      <w:r w:rsidRPr="005071DD">
        <w:rPr>
          <w:rStyle w:val="eop"/>
          <w:rFonts w:ascii="Arial" w:hAnsi="Arial" w:cs="Arial"/>
          <w:color w:val="000000"/>
          <w:sz w:val="22"/>
          <w:szCs w:val="22"/>
        </w:rPr>
        <w:t> </w:t>
      </w:r>
    </w:p>
    <w:p w14:paraId="7767FEEF" w14:textId="4A3353C5" w:rsidR="00F74A37" w:rsidRPr="005071DD" w:rsidRDefault="00926504"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sz w:val="22"/>
          <w:szCs w:val="22"/>
        </w:rPr>
        <w:t>Le attività sono stat</w:t>
      </w:r>
      <w:r w:rsidR="00576A81">
        <w:rPr>
          <w:rStyle w:val="normaltextrun"/>
          <w:rFonts w:ascii="Arial" w:hAnsi="Arial" w:cs="Arial"/>
          <w:sz w:val="22"/>
          <w:szCs w:val="22"/>
        </w:rPr>
        <w:t>e</w:t>
      </w:r>
      <w:r w:rsidRPr="005071DD">
        <w:rPr>
          <w:rStyle w:val="normaltextrun"/>
          <w:rFonts w:ascii="Arial" w:hAnsi="Arial" w:cs="Arial"/>
          <w:sz w:val="22"/>
          <w:szCs w:val="22"/>
        </w:rPr>
        <w:t xml:space="preserve"> svolte mensilmente durante i Consigli di Dipartimento</w:t>
      </w:r>
      <w:r w:rsidR="009C2485">
        <w:rPr>
          <w:rStyle w:val="normaltextrun"/>
          <w:rFonts w:ascii="Arial" w:hAnsi="Arial" w:cs="Arial"/>
          <w:sz w:val="22"/>
          <w:szCs w:val="22"/>
        </w:rPr>
        <w:t>.</w:t>
      </w:r>
    </w:p>
    <w:p w14:paraId="41363929"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color w:val="000000"/>
          <w:sz w:val="22"/>
          <w:szCs w:val="22"/>
        </w:rPr>
        <w:t>Efficacia delle azioni intraprese:</w:t>
      </w:r>
      <w:r w:rsidRPr="005071DD">
        <w:rPr>
          <w:rStyle w:val="eop"/>
          <w:rFonts w:ascii="Arial" w:hAnsi="Arial" w:cs="Arial"/>
          <w:color w:val="000000"/>
          <w:sz w:val="22"/>
          <w:szCs w:val="22"/>
        </w:rPr>
        <w:t> </w:t>
      </w:r>
    </w:p>
    <w:p w14:paraId="583BA173" w14:textId="0C098FF5" w:rsidR="00F74A37" w:rsidRPr="005071DD" w:rsidRDefault="00BD054C"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sz w:val="22"/>
          <w:szCs w:val="22"/>
        </w:rPr>
        <w:lastRenderedPageBreak/>
        <w:t>B</w:t>
      </w:r>
      <w:r w:rsidR="00F74A37" w:rsidRPr="005071DD">
        <w:rPr>
          <w:rStyle w:val="normaltextrun"/>
          <w:rFonts w:ascii="Arial" w:hAnsi="Arial" w:cs="Arial"/>
          <w:sz w:val="22"/>
          <w:szCs w:val="22"/>
        </w:rPr>
        <w:t>uona parte degli studenti sono consapevoli dell’esistenza di un Sistema di assicurazione della Qualità</w:t>
      </w:r>
      <w:r w:rsidRPr="005071DD">
        <w:rPr>
          <w:rStyle w:val="normaltextrun"/>
          <w:rFonts w:ascii="Arial" w:hAnsi="Arial" w:cs="Arial"/>
          <w:sz w:val="22"/>
          <w:szCs w:val="22"/>
        </w:rPr>
        <w:t xml:space="preserve"> e </w:t>
      </w:r>
      <w:r w:rsidR="00F74A37" w:rsidRPr="005071DD">
        <w:rPr>
          <w:rStyle w:val="normaltextrun"/>
          <w:rFonts w:ascii="Arial" w:hAnsi="Arial" w:cs="Arial"/>
          <w:sz w:val="22"/>
          <w:szCs w:val="22"/>
        </w:rPr>
        <w:t>ne comprendono gli effetti</w:t>
      </w:r>
      <w:r w:rsidR="005200D6" w:rsidRPr="005071DD">
        <w:rPr>
          <w:rStyle w:val="normaltextrun"/>
          <w:rFonts w:ascii="Arial" w:hAnsi="Arial" w:cs="Arial"/>
          <w:sz w:val="22"/>
          <w:szCs w:val="22"/>
        </w:rPr>
        <w:t xml:space="preserve"> </w:t>
      </w:r>
      <w:r w:rsidR="00F74A37" w:rsidRPr="005071DD">
        <w:rPr>
          <w:rStyle w:val="normaltextrun"/>
          <w:rFonts w:ascii="Arial" w:hAnsi="Arial" w:cs="Arial"/>
          <w:sz w:val="22"/>
          <w:szCs w:val="22"/>
        </w:rPr>
        <w:t>contribu</w:t>
      </w:r>
      <w:r w:rsidR="005200D6" w:rsidRPr="005071DD">
        <w:rPr>
          <w:rStyle w:val="normaltextrun"/>
          <w:rFonts w:ascii="Arial" w:hAnsi="Arial" w:cs="Arial"/>
          <w:sz w:val="22"/>
          <w:szCs w:val="22"/>
        </w:rPr>
        <w:t xml:space="preserve">endo </w:t>
      </w:r>
      <w:r w:rsidR="00F74A37" w:rsidRPr="005071DD">
        <w:rPr>
          <w:rStyle w:val="normaltextrun"/>
          <w:rFonts w:ascii="Arial" w:hAnsi="Arial" w:cs="Arial"/>
          <w:sz w:val="22"/>
          <w:szCs w:val="22"/>
        </w:rPr>
        <w:t>al miglioramento continuo dell’organizzazione delle attività didattiche </w:t>
      </w:r>
      <w:proofErr w:type="spellStart"/>
      <w:r w:rsidR="00F74A37" w:rsidRPr="005071DD">
        <w:rPr>
          <w:rStyle w:val="normaltextrun"/>
          <w:rFonts w:ascii="Arial" w:hAnsi="Arial" w:cs="Arial"/>
          <w:sz w:val="22"/>
          <w:szCs w:val="22"/>
        </w:rPr>
        <w:t>CdS</w:t>
      </w:r>
      <w:proofErr w:type="spellEnd"/>
      <w:r w:rsidR="00F74A37" w:rsidRPr="005071DD">
        <w:rPr>
          <w:rStyle w:val="normaltextrun"/>
          <w:rFonts w:ascii="Arial" w:hAnsi="Arial" w:cs="Arial"/>
          <w:sz w:val="22"/>
          <w:szCs w:val="22"/>
        </w:rPr>
        <w:t>.</w:t>
      </w:r>
      <w:r w:rsidR="00F74A37" w:rsidRPr="005071DD">
        <w:rPr>
          <w:rStyle w:val="eop"/>
          <w:rFonts w:ascii="Arial" w:hAnsi="Arial" w:cs="Arial"/>
          <w:sz w:val="22"/>
          <w:szCs w:val="22"/>
        </w:rPr>
        <w:t> </w:t>
      </w:r>
    </w:p>
    <w:p w14:paraId="6B06435A"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color w:val="000000"/>
          <w:sz w:val="22"/>
          <w:szCs w:val="22"/>
        </w:rPr>
        <w:t>Azioni da intraprendere:</w:t>
      </w:r>
      <w:r w:rsidRPr="005071DD">
        <w:rPr>
          <w:rStyle w:val="eop"/>
          <w:rFonts w:ascii="Arial" w:hAnsi="Arial" w:cs="Arial"/>
          <w:color w:val="000000"/>
          <w:sz w:val="22"/>
          <w:szCs w:val="22"/>
        </w:rPr>
        <w:t> </w:t>
      </w:r>
    </w:p>
    <w:p w14:paraId="6A52C522" w14:textId="1F49BD35" w:rsidR="00F74A37" w:rsidRPr="005071DD" w:rsidRDefault="00926504" w:rsidP="00060F9E">
      <w:pPr>
        <w:jc w:val="both"/>
        <w:rPr>
          <w:rFonts w:ascii="Arial" w:hAnsi="Arial" w:cs="Arial"/>
          <w:sz w:val="22"/>
          <w:szCs w:val="22"/>
        </w:rPr>
      </w:pPr>
      <w:r w:rsidRPr="005071DD">
        <w:rPr>
          <w:rFonts w:ascii="Arial" w:hAnsi="Arial" w:cs="Arial"/>
          <w:sz w:val="22"/>
          <w:szCs w:val="22"/>
        </w:rPr>
        <w:t>Continuare ad o</w:t>
      </w:r>
      <w:r w:rsidR="00F74A37" w:rsidRPr="005071DD">
        <w:rPr>
          <w:rFonts w:ascii="Arial" w:hAnsi="Arial" w:cs="Arial"/>
          <w:sz w:val="22"/>
          <w:szCs w:val="22"/>
        </w:rPr>
        <w:t>rganizzare una serie di incontri con gli studenti dei diversi anni per presentare le attività del Sistema di Assicurazione della Qualità del </w:t>
      </w:r>
      <w:proofErr w:type="spellStart"/>
      <w:r w:rsidR="00F74A37" w:rsidRPr="005071DD">
        <w:rPr>
          <w:rFonts w:ascii="Arial" w:hAnsi="Arial" w:cs="Arial"/>
          <w:sz w:val="22"/>
          <w:szCs w:val="22"/>
        </w:rPr>
        <w:t>CdS</w:t>
      </w:r>
      <w:proofErr w:type="spellEnd"/>
      <w:r w:rsidR="005071DD" w:rsidRPr="005071DD">
        <w:rPr>
          <w:rFonts w:ascii="Arial" w:hAnsi="Arial" w:cs="Arial"/>
          <w:sz w:val="22"/>
          <w:szCs w:val="22"/>
        </w:rPr>
        <w:t>.</w:t>
      </w:r>
      <w:r w:rsidR="00F74A37" w:rsidRPr="005071DD">
        <w:rPr>
          <w:rFonts w:ascii="Arial" w:hAnsi="Arial" w:cs="Arial"/>
          <w:sz w:val="22"/>
          <w:szCs w:val="22"/>
        </w:rPr>
        <w:t>  </w:t>
      </w:r>
    </w:p>
    <w:p w14:paraId="31BDFDBE" w14:textId="1BCDF43D" w:rsidR="00F74A37" w:rsidRPr="005071DD" w:rsidRDefault="00926504" w:rsidP="00060F9E">
      <w:pPr>
        <w:jc w:val="both"/>
        <w:rPr>
          <w:rFonts w:ascii="Arial" w:hAnsi="Arial" w:cs="Arial"/>
          <w:sz w:val="22"/>
          <w:szCs w:val="22"/>
        </w:rPr>
      </w:pPr>
      <w:r w:rsidRPr="005071DD">
        <w:rPr>
          <w:rFonts w:ascii="Arial" w:hAnsi="Arial" w:cs="Arial"/>
          <w:sz w:val="22"/>
          <w:szCs w:val="22"/>
        </w:rPr>
        <w:t>Continuare ad o</w:t>
      </w:r>
      <w:r w:rsidR="00F74A37" w:rsidRPr="005071DD">
        <w:rPr>
          <w:rFonts w:ascii="Arial" w:hAnsi="Arial" w:cs="Arial"/>
          <w:sz w:val="22"/>
          <w:szCs w:val="22"/>
        </w:rPr>
        <w:t>rganizzare una serie di incontri con i docenti del </w:t>
      </w:r>
      <w:proofErr w:type="spellStart"/>
      <w:r w:rsidR="00F74A37" w:rsidRPr="005071DD">
        <w:rPr>
          <w:rFonts w:ascii="Arial" w:hAnsi="Arial" w:cs="Arial"/>
          <w:sz w:val="22"/>
          <w:szCs w:val="22"/>
        </w:rPr>
        <w:t>CdS</w:t>
      </w:r>
      <w:proofErr w:type="spellEnd"/>
      <w:r w:rsidR="00F74A37" w:rsidRPr="005071DD">
        <w:rPr>
          <w:rFonts w:ascii="Arial" w:hAnsi="Arial" w:cs="Arial"/>
          <w:sz w:val="22"/>
          <w:szCs w:val="22"/>
        </w:rPr>
        <w:t> per presentare le attività del Sistema di Assicurazione della Qualità del </w:t>
      </w:r>
      <w:proofErr w:type="spellStart"/>
      <w:r w:rsidR="00F74A37" w:rsidRPr="005071DD">
        <w:rPr>
          <w:rFonts w:ascii="Arial" w:hAnsi="Arial" w:cs="Arial"/>
          <w:sz w:val="22"/>
          <w:szCs w:val="22"/>
        </w:rPr>
        <w:t>CdS</w:t>
      </w:r>
      <w:proofErr w:type="spellEnd"/>
      <w:r w:rsidR="005071DD" w:rsidRPr="005071DD">
        <w:rPr>
          <w:rFonts w:ascii="Arial" w:hAnsi="Arial" w:cs="Arial"/>
          <w:sz w:val="22"/>
          <w:szCs w:val="22"/>
        </w:rPr>
        <w:t>.</w:t>
      </w:r>
      <w:r w:rsidR="00F74A37" w:rsidRPr="005071DD">
        <w:rPr>
          <w:rFonts w:ascii="Arial" w:hAnsi="Arial" w:cs="Arial"/>
          <w:sz w:val="22"/>
          <w:szCs w:val="22"/>
        </w:rPr>
        <w:t>  </w:t>
      </w:r>
    </w:p>
    <w:p w14:paraId="2DC7BC30" w14:textId="77777777"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sz w:val="22"/>
          <w:szCs w:val="22"/>
        </w:rPr>
        <w:t>Modalità e risorse:</w:t>
      </w:r>
      <w:r w:rsidRPr="005071DD">
        <w:rPr>
          <w:rStyle w:val="normaltextrun"/>
          <w:rFonts w:ascii="Arial" w:hAnsi="Arial" w:cs="Arial"/>
          <w:sz w:val="22"/>
          <w:szCs w:val="22"/>
        </w:rPr>
        <w:t> </w:t>
      </w:r>
      <w:r w:rsidRPr="005071DD">
        <w:rPr>
          <w:rStyle w:val="eop"/>
          <w:rFonts w:ascii="Arial" w:hAnsi="Arial" w:cs="Arial"/>
          <w:sz w:val="22"/>
          <w:szCs w:val="22"/>
        </w:rPr>
        <w:t> </w:t>
      </w:r>
    </w:p>
    <w:p w14:paraId="628B3B1A" w14:textId="7985274A" w:rsidR="00F74A37" w:rsidRPr="005071DD" w:rsidRDefault="00F74A37" w:rsidP="00060F9E">
      <w:pPr>
        <w:jc w:val="both"/>
        <w:rPr>
          <w:rFonts w:ascii="Arial" w:hAnsi="Arial" w:cs="Arial"/>
          <w:sz w:val="22"/>
          <w:szCs w:val="22"/>
        </w:rPr>
      </w:pPr>
      <w:r w:rsidRPr="005071DD">
        <w:rPr>
          <w:rFonts w:ascii="Arial" w:hAnsi="Arial" w:cs="Arial"/>
          <w:sz w:val="22"/>
          <w:szCs w:val="22"/>
        </w:rPr>
        <w:t>Per ogni anno del corso di studio saranno programmati incontri di informazione e sensibilizzazione con gli studenti, da collocarsi in prossimità o durante l'orario di lezione in modo da garantire un'ampia partecipazione</w:t>
      </w:r>
      <w:r w:rsidR="00926504" w:rsidRPr="005071DD">
        <w:rPr>
          <w:rFonts w:ascii="Arial" w:hAnsi="Arial" w:cs="Arial"/>
          <w:sz w:val="22"/>
          <w:szCs w:val="22"/>
        </w:rPr>
        <w:t>.</w:t>
      </w:r>
      <w:r w:rsidRPr="005071DD">
        <w:rPr>
          <w:rFonts w:ascii="Arial" w:hAnsi="Arial" w:cs="Arial"/>
          <w:sz w:val="22"/>
          <w:szCs w:val="22"/>
        </w:rPr>
        <w:t> </w:t>
      </w:r>
    </w:p>
    <w:p w14:paraId="1E38F7BC" w14:textId="1AB50A7F" w:rsidR="00F74A37" w:rsidRPr="005071DD" w:rsidRDefault="00F74A37" w:rsidP="00060F9E">
      <w:pPr>
        <w:jc w:val="both"/>
        <w:rPr>
          <w:rFonts w:ascii="Arial" w:hAnsi="Arial" w:cs="Arial"/>
          <w:sz w:val="22"/>
          <w:szCs w:val="22"/>
        </w:rPr>
      </w:pPr>
      <w:r w:rsidRPr="005071DD">
        <w:rPr>
          <w:rFonts w:ascii="Arial" w:hAnsi="Arial" w:cs="Arial"/>
          <w:sz w:val="22"/>
          <w:szCs w:val="22"/>
        </w:rPr>
        <w:t>In occasione degli incontri con i docenti del </w:t>
      </w:r>
      <w:proofErr w:type="spellStart"/>
      <w:r w:rsidRPr="005071DD">
        <w:rPr>
          <w:rFonts w:ascii="Arial" w:hAnsi="Arial" w:cs="Arial"/>
          <w:sz w:val="22"/>
          <w:szCs w:val="22"/>
        </w:rPr>
        <w:t>CdS</w:t>
      </w:r>
      <w:proofErr w:type="spellEnd"/>
      <w:r w:rsidRPr="005071DD">
        <w:rPr>
          <w:rFonts w:ascii="Arial" w:hAnsi="Arial" w:cs="Arial"/>
          <w:sz w:val="22"/>
          <w:szCs w:val="22"/>
        </w:rPr>
        <w:t> </w:t>
      </w:r>
      <w:r w:rsidR="00B023AA" w:rsidRPr="005071DD">
        <w:rPr>
          <w:rFonts w:ascii="Arial" w:hAnsi="Arial" w:cs="Arial"/>
          <w:sz w:val="22"/>
          <w:szCs w:val="22"/>
        </w:rPr>
        <w:t>si continuerà a</w:t>
      </w:r>
      <w:r w:rsidRPr="005071DD">
        <w:rPr>
          <w:rFonts w:ascii="Arial" w:hAnsi="Arial" w:cs="Arial"/>
          <w:sz w:val="22"/>
          <w:szCs w:val="22"/>
        </w:rPr>
        <w:t xml:space="preserve"> presenta</w:t>
      </w:r>
      <w:r w:rsidR="00B023AA" w:rsidRPr="005071DD">
        <w:rPr>
          <w:rFonts w:ascii="Arial" w:hAnsi="Arial" w:cs="Arial"/>
          <w:sz w:val="22"/>
          <w:szCs w:val="22"/>
        </w:rPr>
        <w:t>re</w:t>
      </w:r>
      <w:r w:rsidRPr="005071DD">
        <w:rPr>
          <w:rFonts w:ascii="Arial" w:hAnsi="Arial" w:cs="Arial"/>
          <w:sz w:val="22"/>
          <w:szCs w:val="22"/>
        </w:rPr>
        <w:t xml:space="preserve"> l</w:t>
      </w:r>
      <w:r w:rsidR="00F028E2">
        <w:rPr>
          <w:rFonts w:ascii="Arial" w:hAnsi="Arial" w:cs="Arial"/>
          <w:sz w:val="22"/>
          <w:szCs w:val="22"/>
        </w:rPr>
        <w:t xml:space="preserve">e </w:t>
      </w:r>
      <w:r w:rsidRPr="005071DD">
        <w:rPr>
          <w:rFonts w:ascii="Arial" w:hAnsi="Arial" w:cs="Arial"/>
          <w:sz w:val="22"/>
          <w:szCs w:val="22"/>
        </w:rPr>
        <w:t xml:space="preserve">attività </w:t>
      </w:r>
      <w:r w:rsidR="00B023AA" w:rsidRPr="005071DD">
        <w:rPr>
          <w:rFonts w:ascii="Arial" w:hAnsi="Arial" w:cs="Arial"/>
          <w:sz w:val="22"/>
          <w:szCs w:val="22"/>
        </w:rPr>
        <w:t>svolt</w:t>
      </w:r>
      <w:r w:rsidR="00F028E2">
        <w:rPr>
          <w:rFonts w:ascii="Arial" w:hAnsi="Arial" w:cs="Arial"/>
          <w:sz w:val="22"/>
          <w:szCs w:val="22"/>
        </w:rPr>
        <w:t>e</w:t>
      </w:r>
      <w:r w:rsidR="00B023AA" w:rsidRPr="005071DD">
        <w:rPr>
          <w:rFonts w:ascii="Arial" w:hAnsi="Arial" w:cs="Arial"/>
          <w:sz w:val="22"/>
          <w:szCs w:val="22"/>
        </w:rPr>
        <w:t xml:space="preserve"> </w:t>
      </w:r>
      <w:r w:rsidR="00F028E2">
        <w:rPr>
          <w:rFonts w:ascii="Arial" w:hAnsi="Arial" w:cs="Arial"/>
          <w:sz w:val="22"/>
          <w:szCs w:val="22"/>
        </w:rPr>
        <w:t>relative al</w:t>
      </w:r>
      <w:r w:rsidRPr="005071DD">
        <w:rPr>
          <w:rFonts w:ascii="Arial" w:hAnsi="Arial" w:cs="Arial"/>
          <w:sz w:val="22"/>
          <w:szCs w:val="22"/>
        </w:rPr>
        <w:t xml:space="preserve"> Sistema di Assicurazione Qualità.  </w:t>
      </w:r>
    </w:p>
    <w:p w14:paraId="1C57CDEC" w14:textId="78610818" w:rsidR="00F74A37" w:rsidRPr="005071DD" w:rsidRDefault="00F74A37" w:rsidP="00060F9E">
      <w:pPr>
        <w:pStyle w:val="paragraph"/>
        <w:spacing w:before="0" w:beforeAutospacing="0" w:after="0" w:afterAutospacing="0"/>
        <w:jc w:val="both"/>
        <w:textAlignment w:val="baseline"/>
        <w:rPr>
          <w:rFonts w:ascii="Arial" w:hAnsi="Arial" w:cs="Arial"/>
          <w:sz w:val="22"/>
          <w:szCs w:val="22"/>
        </w:rPr>
      </w:pPr>
      <w:r w:rsidRPr="005071DD">
        <w:rPr>
          <w:rStyle w:val="normaltextrun"/>
          <w:rFonts w:ascii="Arial" w:hAnsi="Arial" w:cs="Arial"/>
          <w:b/>
          <w:bCs/>
          <w:sz w:val="22"/>
          <w:szCs w:val="22"/>
        </w:rPr>
        <w:t>Responsabilità:</w:t>
      </w:r>
      <w:r w:rsidRPr="005071DD">
        <w:rPr>
          <w:rStyle w:val="normaltextrun"/>
          <w:rFonts w:ascii="Arial" w:hAnsi="Arial" w:cs="Arial"/>
          <w:sz w:val="22"/>
          <w:szCs w:val="22"/>
        </w:rPr>
        <w:t> </w:t>
      </w:r>
      <w:r w:rsidRPr="005071DD">
        <w:rPr>
          <w:rStyle w:val="eop"/>
          <w:rFonts w:ascii="Arial" w:hAnsi="Arial" w:cs="Arial"/>
          <w:sz w:val="22"/>
          <w:szCs w:val="22"/>
        </w:rPr>
        <w:t> </w:t>
      </w:r>
    </w:p>
    <w:p w14:paraId="65C2A753" w14:textId="4E1BA2D8" w:rsidR="00F74A37" w:rsidRPr="00060F9E" w:rsidRDefault="00F74A37" w:rsidP="00060F9E">
      <w:pPr>
        <w:pStyle w:val="paragraph"/>
        <w:spacing w:before="0" w:beforeAutospacing="0" w:after="0" w:afterAutospacing="0"/>
        <w:jc w:val="both"/>
        <w:textAlignment w:val="baseline"/>
        <w:rPr>
          <w:rFonts w:ascii="Arial" w:hAnsi="Arial" w:cs="Arial"/>
          <w:sz w:val="22"/>
          <w:szCs w:val="22"/>
        </w:rPr>
      </w:pPr>
      <w:r w:rsidRPr="005A7FD0">
        <w:rPr>
          <w:rStyle w:val="normaltextrun"/>
          <w:rFonts w:ascii="Arial" w:hAnsi="Arial" w:cs="Arial"/>
          <w:sz w:val="22"/>
          <w:szCs w:val="22"/>
        </w:rPr>
        <w:t>Coordinatore </w:t>
      </w:r>
      <w:proofErr w:type="spellStart"/>
      <w:r w:rsidRPr="005A7FD0">
        <w:rPr>
          <w:rStyle w:val="normaltextrun"/>
          <w:rFonts w:ascii="Arial" w:hAnsi="Arial" w:cs="Arial"/>
          <w:sz w:val="22"/>
          <w:szCs w:val="22"/>
        </w:rPr>
        <w:t>CdS</w:t>
      </w:r>
      <w:proofErr w:type="spellEnd"/>
      <w:r w:rsidRPr="005A7FD0">
        <w:rPr>
          <w:rStyle w:val="normaltextrun"/>
          <w:rFonts w:ascii="Arial" w:hAnsi="Arial" w:cs="Arial"/>
          <w:sz w:val="22"/>
          <w:szCs w:val="22"/>
        </w:rPr>
        <w:t>. </w:t>
      </w:r>
    </w:p>
    <w:sectPr w:rsidR="00F74A37" w:rsidRPr="00060F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CD9"/>
    <w:multiLevelType w:val="hybridMultilevel"/>
    <w:tmpl w:val="ABD83332"/>
    <w:lvl w:ilvl="0" w:tplc="A8F0A94E">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A32139"/>
    <w:multiLevelType w:val="multilevel"/>
    <w:tmpl w:val="8616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C5EFE"/>
    <w:multiLevelType w:val="multilevel"/>
    <w:tmpl w:val="DD6C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704B9"/>
    <w:multiLevelType w:val="hybridMultilevel"/>
    <w:tmpl w:val="CA328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D12AD1"/>
    <w:multiLevelType w:val="multilevel"/>
    <w:tmpl w:val="9E361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E6F57"/>
    <w:multiLevelType w:val="hybridMultilevel"/>
    <w:tmpl w:val="B3568624"/>
    <w:lvl w:ilvl="0" w:tplc="2A2403F2">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210B7F"/>
    <w:multiLevelType w:val="hybridMultilevel"/>
    <w:tmpl w:val="19CAE006"/>
    <w:lvl w:ilvl="0" w:tplc="15E2F9CE">
      <w:start w:val="3"/>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EE6669"/>
    <w:multiLevelType w:val="hybridMultilevel"/>
    <w:tmpl w:val="0E38C89C"/>
    <w:lvl w:ilvl="0" w:tplc="9CF84E94">
      <w:start w:val="1"/>
      <w:numFmt w:val="bullet"/>
      <w:lvlText w:val="•"/>
      <w:lvlJc w:val="left"/>
      <w:pPr>
        <w:tabs>
          <w:tab w:val="num" w:pos="720"/>
        </w:tabs>
        <w:ind w:left="720" w:hanging="360"/>
      </w:pPr>
      <w:rPr>
        <w:rFonts w:ascii="Arial" w:hAnsi="Arial" w:hint="default"/>
      </w:rPr>
    </w:lvl>
    <w:lvl w:ilvl="1" w:tplc="F6C6934E" w:tentative="1">
      <w:start w:val="1"/>
      <w:numFmt w:val="bullet"/>
      <w:lvlText w:val="•"/>
      <w:lvlJc w:val="left"/>
      <w:pPr>
        <w:tabs>
          <w:tab w:val="num" w:pos="1440"/>
        </w:tabs>
        <w:ind w:left="1440" w:hanging="360"/>
      </w:pPr>
      <w:rPr>
        <w:rFonts w:ascii="Arial" w:hAnsi="Arial" w:hint="default"/>
      </w:rPr>
    </w:lvl>
    <w:lvl w:ilvl="2" w:tplc="7DC672A6" w:tentative="1">
      <w:start w:val="1"/>
      <w:numFmt w:val="bullet"/>
      <w:lvlText w:val="•"/>
      <w:lvlJc w:val="left"/>
      <w:pPr>
        <w:tabs>
          <w:tab w:val="num" w:pos="2160"/>
        </w:tabs>
        <w:ind w:left="2160" w:hanging="360"/>
      </w:pPr>
      <w:rPr>
        <w:rFonts w:ascii="Arial" w:hAnsi="Arial" w:hint="default"/>
      </w:rPr>
    </w:lvl>
    <w:lvl w:ilvl="3" w:tplc="A5E26E7E" w:tentative="1">
      <w:start w:val="1"/>
      <w:numFmt w:val="bullet"/>
      <w:lvlText w:val="•"/>
      <w:lvlJc w:val="left"/>
      <w:pPr>
        <w:tabs>
          <w:tab w:val="num" w:pos="2880"/>
        </w:tabs>
        <w:ind w:left="2880" w:hanging="360"/>
      </w:pPr>
      <w:rPr>
        <w:rFonts w:ascii="Arial" w:hAnsi="Arial" w:hint="default"/>
      </w:rPr>
    </w:lvl>
    <w:lvl w:ilvl="4" w:tplc="5284FE1E" w:tentative="1">
      <w:start w:val="1"/>
      <w:numFmt w:val="bullet"/>
      <w:lvlText w:val="•"/>
      <w:lvlJc w:val="left"/>
      <w:pPr>
        <w:tabs>
          <w:tab w:val="num" w:pos="3600"/>
        </w:tabs>
        <w:ind w:left="3600" w:hanging="360"/>
      </w:pPr>
      <w:rPr>
        <w:rFonts w:ascii="Arial" w:hAnsi="Arial" w:hint="default"/>
      </w:rPr>
    </w:lvl>
    <w:lvl w:ilvl="5" w:tplc="85384AA4" w:tentative="1">
      <w:start w:val="1"/>
      <w:numFmt w:val="bullet"/>
      <w:lvlText w:val="•"/>
      <w:lvlJc w:val="left"/>
      <w:pPr>
        <w:tabs>
          <w:tab w:val="num" w:pos="4320"/>
        </w:tabs>
        <w:ind w:left="4320" w:hanging="360"/>
      </w:pPr>
      <w:rPr>
        <w:rFonts w:ascii="Arial" w:hAnsi="Arial" w:hint="default"/>
      </w:rPr>
    </w:lvl>
    <w:lvl w:ilvl="6" w:tplc="F1AE25BA" w:tentative="1">
      <w:start w:val="1"/>
      <w:numFmt w:val="bullet"/>
      <w:lvlText w:val="•"/>
      <w:lvlJc w:val="left"/>
      <w:pPr>
        <w:tabs>
          <w:tab w:val="num" w:pos="5040"/>
        </w:tabs>
        <w:ind w:left="5040" w:hanging="360"/>
      </w:pPr>
      <w:rPr>
        <w:rFonts w:ascii="Arial" w:hAnsi="Arial" w:hint="default"/>
      </w:rPr>
    </w:lvl>
    <w:lvl w:ilvl="7" w:tplc="C2C2371C" w:tentative="1">
      <w:start w:val="1"/>
      <w:numFmt w:val="bullet"/>
      <w:lvlText w:val="•"/>
      <w:lvlJc w:val="left"/>
      <w:pPr>
        <w:tabs>
          <w:tab w:val="num" w:pos="5760"/>
        </w:tabs>
        <w:ind w:left="5760" w:hanging="360"/>
      </w:pPr>
      <w:rPr>
        <w:rFonts w:ascii="Arial" w:hAnsi="Arial" w:hint="default"/>
      </w:rPr>
    </w:lvl>
    <w:lvl w:ilvl="8" w:tplc="A55A07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44240B4"/>
    <w:multiLevelType w:val="multilevel"/>
    <w:tmpl w:val="079E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554C81"/>
    <w:multiLevelType w:val="hybridMultilevel"/>
    <w:tmpl w:val="56F44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DB60D8"/>
    <w:multiLevelType w:val="multilevel"/>
    <w:tmpl w:val="35E0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576E0"/>
    <w:multiLevelType w:val="hybridMultilevel"/>
    <w:tmpl w:val="9EE40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83B6A7E"/>
    <w:multiLevelType w:val="multilevel"/>
    <w:tmpl w:val="542ECF90"/>
    <w:lvl w:ilvl="0">
      <w:start w:val="1"/>
      <w:numFmt w:val="upperRoman"/>
      <w:lvlText w:val="%1."/>
      <w:lvlJc w:val="right"/>
      <w:pPr>
        <w:ind w:left="360" w:hanging="360"/>
      </w:pPr>
      <w:rPr>
        <w:rFonts w:hint="default"/>
        <w:b/>
        <w:bCs w:val="0"/>
        <w:color w:val="000000" w:themeColor="text1"/>
      </w:rPr>
    </w:lvl>
    <w:lvl w:ilvl="1">
      <w:start w:val="1"/>
      <w:numFmt w:val="decimal"/>
      <w:lvlText w:val="%2)"/>
      <w:lvlJc w:val="left"/>
      <w:pPr>
        <w:ind w:left="360" w:hanging="360"/>
      </w:pPr>
      <w:rPr>
        <w:rFonts w:hint="default"/>
      </w:rPr>
    </w:lvl>
    <w:lvl w:ilvl="2">
      <w:start w:val="1"/>
      <w:numFmt w:val="lowerRoman"/>
      <w:lvlText w:val="%3 - "/>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48153F"/>
    <w:multiLevelType w:val="hybridMultilevel"/>
    <w:tmpl w:val="AF12B8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2E22A11"/>
    <w:multiLevelType w:val="hybridMultilevel"/>
    <w:tmpl w:val="03DA12C2"/>
    <w:lvl w:ilvl="0" w:tplc="8948FA1E">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3D04282"/>
    <w:multiLevelType w:val="hybridMultilevel"/>
    <w:tmpl w:val="0FAA67AE"/>
    <w:lvl w:ilvl="0" w:tplc="593837B8">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07E47FA"/>
    <w:multiLevelType w:val="hybridMultilevel"/>
    <w:tmpl w:val="1214C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80E4CE9"/>
    <w:multiLevelType w:val="multilevel"/>
    <w:tmpl w:val="AE0C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A37E77"/>
    <w:multiLevelType w:val="hybridMultilevel"/>
    <w:tmpl w:val="8B166350"/>
    <w:lvl w:ilvl="0" w:tplc="6CC8A460">
      <w:start w:val="3"/>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A4964DC"/>
    <w:multiLevelType w:val="hybridMultilevel"/>
    <w:tmpl w:val="80F80DCE"/>
    <w:lvl w:ilvl="0" w:tplc="593837B8">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0BF5CF5"/>
    <w:multiLevelType w:val="hybridMultilevel"/>
    <w:tmpl w:val="F510ECE6"/>
    <w:lvl w:ilvl="0" w:tplc="C6043DAC">
      <w:start w:val="1"/>
      <w:numFmt w:val="bullet"/>
      <w:lvlText w:val="•"/>
      <w:lvlJc w:val="left"/>
      <w:pPr>
        <w:tabs>
          <w:tab w:val="num" w:pos="720"/>
        </w:tabs>
        <w:ind w:left="720" w:hanging="360"/>
      </w:pPr>
      <w:rPr>
        <w:rFonts w:ascii="Arial" w:hAnsi="Arial" w:hint="default"/>
      </w:rPr>
    </w:lvl>
    <w:lvl w:ilvl="1" w:tplc="7368CD90" w:tentative="1">
      <w:start w:val="1"/>
      <w:numFmt w:val="bullet"/>
      <w:lvlText w:val="•"/>
      <w:lvlJc w:val="left"/>
      <w:pPr>
        <w:tabs>
          <w:tab w:val="num" w:pos="1440"/>
        </w:tabs>
        <w:ind w:left="1440" w:hanging="360"/>
      </w:pPr>
      <w:rPr>
        <w:rFonts w:ascii="Arial" w:hAnsi="Arial" w:hint="default"/>
      </w:rPr>
    </w:lvl>
    <w:lvl w:ilvl="2" w:tplc="CBD8943C" w:tentative="1">
      <w:start w:val="1"/>
      <w:numFmt w:val="bullet"/>
      <w:lvlText w:val="•"/>
      <w:lvlJc w:val="left"/>
      <w:pPr>
        <w:tabs>
          <w:tab w:val="num" w:pos="2160"/>
        </w:tabs>
        <w:ind w:left="2160" w:hanging="360"/>
      </w:pPr>
      <w:rPr>
        <w:rFonts w:ascii="Arial" w:hAnsi="Arial" w:hint="default"/>
      </w:rPr>
    </w:lvl>
    <w:lvl w:ilvl="3" w:tplc="42D8D0D2" w:tentative="1">
      <w:start w:val="1"/>
      <w:numFmt w:val="bullet"/>
      <w:lvlText w:val="•"/>
      <w:lvlJc w:val="left"/>
      <w:pPr>
        <w:tabs>
          <w:tab w:val="num" w:pos="2880"/>
        </w:tabs>
        <w:ind w:left="2880" w:hanging="360"/>
      </w:pPr>
      <w:rPr>
        <w:rFonts w:ascii="Arial" w:hAnsi="Arial" w:hint="default"/>
      </w:rPr>
    </w:lvl>
    <w:lvl w:ilvl="4" w:tplc="A0288C1E" w:tentative="1">
      <w:start w:val="1"/>
      <w:numFmt w:val="bullet"/>
      <w:lvlText w:val="•"/>
      <w:lvlJc w:val="left"/>
      <w:pPr>
        <w:tabs>
          <w:tab w:val="num" w:pos="3600"/>
        </w:tabs>
        <w:ind w:left="3600" w:hanging="360"/>
      </w:pPr>
      <w:rPr>
        <w:rFonts w:ascii="Arial" w:hAnsi="Arial" w:hint="default"/>
      </w:rPr>
    </w:lvl>
    <w:lvl w:ilvl="5" w:tplc="C1A8CCCE" w:tentative="1">
      <w:start w:val="1"/>
      <w:numFmt w:val="bullet"/>
      <w:lvlText w:val="•"/>
      <w:lvlJc w:val="left"/>
      <w:pPr>
        <w:tabs>
          <w:tab w:val="num" w:pos="4320"/>
        </w:tabs>
        <w:ind w:left="4320" w:hanging="360"/>
      </w:pPr>
      <w:rPr>
        <w:rFonts w:ascii="Arial" w:hAnsi="Arial" w:hint="default"/>
      </w:rPr>
    </w:lvl>
    <w:lvl w:ilvl="6" w:tplc="A51825FC" w:tentative="1">
      <w:start w:val="1"/>
      <w:numFmt w:val="bullet"/>
      <w:lvlText w:val="•"/>
      <w:lvlJc w:val="left"/>
      <w:pPr>
        <w:tabs>
          <w:tab w:val="num" w:pos="5040"/>
        </w:tabs>
        <w:ind w:left="5040" w:hanging="360"/>
      </w:pPr>
      <w:rPr>
        <w:rFonts w:ascii="Arial" w:hAnsi="Arial" w:hint="default"/>
      </w:rPr>
    </w:lvl>
    <w:lvl w:ilvl="7" w:tplc="BE5C49B8" w:tentative="1">
      <w:start w:val="1"/>
      <w:numFmt w:val="bullet"/>
      <w:lvlText w:val="•"/>
      <w:lvlJc w:val="left"/>
      <w:pPr>
        <w:tabs>
          <w:tab w:val="num" w:pos="5760"/>
        </w:tabs>
        <w:ind w:left="5760" w:hanging="360"/>
      </w:pPr>
      <w:rPr>
        <w:rFonts w:ascii="Arial" w:hAnsi="Arial" w:hint="default"/>
      </w:rPr>
    </w:lvl>
    <w:lvl w:ilvl="8" w:tplc="80E0947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5092347"/>
    <w:multiLevelType w:val="hybridMultilevel"/>
    <w:tmpl w:val="333E44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5C55E9B"/>
    <w:multiLevelType w:val="hybridMultilevel"/>
    <w:tmpl w:val="64B026F8"/>
    <w:lvl w:ilvl="0" w:tplc="2B1A060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9DC3BEF"/>
    <w:multiLevelType w:val="hybridMultilevel"/>
    <w:tmpl w:val="F29278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681F4F"/>
    <w:multiLevelType w:val="hybridMultilevel"/>
    <w:tmpl w:val="84FE7132"/>
    <w:lvl w:ilvl="0" w:tplc="A2C87434">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C627E46"/>
    <w:multiLevelType w:val="hybridMultilevel"/>
    <w:tmpl w:val="4840553C"/>
    <w:lvl w:ilvl="0" w:tplc="18E6AA2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8517789">
    <w:abstractNumId w:val="3"/>
  </w:num>
  <w:num w:numId="2" w16cid:durableId="566693271">
    <w:abstractNumId w:val="16"/>
  </w:num>
  <w:num w:numId="3" w16cid:durableId="421296141">
    <w:abstractNumId w:val="22"/>
  </w:num>
  <w:num w:numId="4" w16cid:durableId="1599368271">
    <w:abstractNumId w:val="19"/>
  </w:num>
  <w:num w:numId="5" w16cid:durableId="1209612563">
    <w:abstractNumId w:val="9"/>
  </w:num>
  <w:num w:numId="6" w16cid:durableId="510340123">
    <w:abstractNumId w:val="15"/>
  </w:num>
  <w:num w:numId="7" w16cid:durableId="2088454700">
    <w:abstractNumId w:val="11"/>
  </w:num>
  <w:num w:numId="8" w16cid:durableId="711421107">
    <w:abstractNumId w:val="16"/>
  </w:num>
  <w:num w:numId="9" w16cid:durableId="41028491">
    <w:abstractNumId w:val="3"/>
  </w:num>
  <w:num w:numId="10" w16cid:durableId="365715613">
    <w:abstractNumId w:val="21"/>
  </w:num>
  <w:num w:numId="11" w16cid:durableId="1490750742">
    <w:abstractNumId w:val="13"/>
  </w:num>
  <w:num w:numId="12" w16cid:durableId="1462267092">
    <w:abstractNumId w:val="23"/>
  </w:num>
  <w:num w:numId="13" w16cid:durableId="726414351">
    <w:abstractNumId w:val="8"/>
  </w:num>
  <w:num w:numId="14" w16cid:durableId="1772359656">
    <w:abstractNumId w:val="10"/>
  </w:num>
  <w:num w:numId="15" w16cid:durableId="1638994694">
    <w:abstractNumId w:val="2"/>
  </w:num>
  <w:num w:numId="16" w16cid:durableId="1969893062">
    <w:abstractNumId w:val="17"/>
  </w:num>
  <w:num w:numId="17" w16cid:durableId="1383674707">
    <w:abstractNumId w:val="0"/>
  </w:num>
  <w:num w:numId="18" w16cid:durableId="1603609067">
    <w:abstractNumId w:val="5"/>
  </w:num>
  <w:num w:numId="19" w16cid:durableId="894240776">
    <w:abstractNumId w:val="14"/>
  </w:num>
  <w:num w:numId="20" w16cid:durableId="889999923">
    <w:abstractNumId w:val="12"/>
  </w:num>
  <w:num w:numId="21" w16cid:durableId="151803081">
    <w:abstractNumId w:val="24"/>
  </w:num>
  <w:num w:numId="22" w16cid:durableId="231702001">
    <w:abstractNumId w:val="18"/>
  </w:num>
  <w:num w:numId="23" w16cid:durableId="29571121">
    <w:abstractNumId w:val="6"/>
  </w:num>
  <w:num w:numId="24" w16cid:durableId="1183666041">
    <w:abstractNumId w:val="4"/>
  </w:num>
  <w:num w:numId="25" w16cid:durableId="1874461427">
    <w:abstractNumId w:val="1"/>
  </w:num>
  <w:num w:numId="26" w16cid:durableId="2140830435">
    <w:abstractNumId w:val="25"/>
  </w:num>
  <w:num w:numId="27" w16cid:durableId="909382801">
    <w:abstractNumId w:val="20"/>
  </w:num>
  <w:num w:numId="28" w16cid:durableId="15656047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xsbA0NDM3NjMyNrNQ0lEKTi0uzszPAykwqQUAAx5YCCwAAAA="/>
  </w:docVars>
  <w:rsids>
    <w:rsidRoot w:val="0023355E"/>
    <w:rsid w:val="00001601"/>
    <w:rsid w:val="00001C99"/>
    <w:rsid w:val="00010E67"/>
    <w:rsid w:val="00012899"/>
    <w:rsid w:val="00014F32"/>
    <w:rsid w:val="0001529A"/>
    <w:rsid w:val="0001568A"/>
    <w:rsid w:val="00021F5A"/>
    <w:rsid w:val="00025674"/>
    <w:rsid w:val="0002597E"/>
    <w:rsid w:val="000275A2"/>
    <w:rsid w:val="00030D40"/>
    <w:rsid w:val="00031C23"/>
    <w:rsid w:val="00032624"/>
    <w:rsid w:val="00033B6F"/>
    <w:rsid w:val="00034A7B"/>
    <w:rsid w:val="00035C10"/>
    <w:rsid w:val="00035E23"/>
    <w:rsid w:val="0003696C"/>
    <w:rsid w:val="00041F7A"/>
    <w:rsid w:val="000423A6"/>
    <w:rsid w:val="0004357C"/>
    <w:rsid w:val="00055D05"/>
    <w:rsid w:val="00055E97"/>
    <w:rsid w:val="00060F9E"/>
    <w:rsid w:val="000630DE"/>
    <w:rsid w:val="00070691"/>
    <w:rsid w:val="00074AF7"/>
    <w:rsid w:val="00075D21"/>
    <w:rsid w:val="000768A0"/>
    <w:rsid w:val="00077080"/>
    <w:rsid w:val="0008014F"/>
    <w:rsid w:val="00080BF6"/>
    <w:rsid w:val="0008158F"/>
    <w:rsid w:val="000816A1"/>
    <w:rsid w:val="00081F3F"/>
    <w:rsid w:val="00087140"/>
    <w:rsid w:val="00092A76"/>
    <w:rsid w:val="0009307D"/>
    <w:rsid w:val="000A23E4"/>
    <w:rsid w:val="000A2932"/>
    <w:rsid w:val="000A3990"/>
    <w:rsid w:val="000A4322"/>
    <w:rsid w:val="000B2342"/>
    <w:rsid w:val="000B5DE2"/>
    <w:rsid w:val="000B6843"/>
    <w:rsid w:val="000C318D"/>
    <w:rsid w:val="000D409F"/>
    <w:rsid w:val="000D5A59"/>
    <w:rsid w:val="000D61C7"/>
    <w:rsid w:val="000E3154"/>
    <w:rsid w:val="000E3FEB"/>
    <w:rsid w:val="000E57E8"/>
    <w:rsid w:val="000F0AE1"/>
    <w:rsid w:val="000F1F64"/>
    <w:rsid w:val="000F2B15"/>
    <w:rsid w:val="000F2EB2"/>
    <w:rsid w:val="000F4D4B"/>
    <w:rsid w:val="000F581E"/>
    <w:rsid w:val="000F77B1"/>
    <w:rsid w:val="00104C28"/>
    <w:rsid w:val="001073E3"/>
    <w:rsid w:val="00107827"/>
    <w:rsid w:val="00110CC2"/>
    <w:rsid w:val="00111900"/>
    <w:rsid w:val="0011539A"/>
    <w:rsid w:val="001155C3"/>
    <w:rsid w:val="0011576A"/>
    <w:rsid w:val="00115A43"/>
    <w:rsid w:val="00116B50"/>
    <w:rsid w:val="0012023E"/>
    <w:rsid w:val="00121DF7"/>
    <w:rsid w:val="0012265C"/>
    <w:rsid w:val="00123B43"/>
    <w:rsid w:val="00123F2D"/>
    <w:rsid w:val="00133A88"/>
    <w:rsid w:val="00146E1A"/>
    <w:rsid w:val="00147BBB"/>
    <w:rsid w:val="00151530"/>
    <w:rsid w:val="001563EB"/>
    <w:rsid w:val="001575AE"/>
    <w:rsid w:val="00162551"/>
    <w:rsid w:val="001644B2"/>
    <w:rsid w:val="00165082"/>
    <w:rsid w:val="00167717"/>
    <w:rsid w:val="001710E7"/>
    <w:rsid w:val="00174CBB"/>
    <w:rsid w:val="001769CF"/>
    <w:rsid w:val="001830D2"/>
    <w:rsid w:val="0018384E"/>
    <w:rsid w:val="001871E2"/>
    <w:rsid w:val="00190A21"/>
    <w:rsid w:val="0019142F"/>
    <w:rsid w:val="001A0CA6"/>
    <w:rsid w:val="001A0F70"/>
    <w:rsid w:val="001A1C77"/>
    <w:rsid w:val="001A78BF"/>
    <w:rsid w:val="001A7AD5"/>
    <w:rsid w:val="001B380C"/>
    <w:rsid w:val="001B3B93"/>
    <w:rsid w:val="001B6892"/>
    <w:rsid w:val="001B7813"/>
    <w:rsid w:val="001C2DDF"/>
    <w:rsid w:val="001C4530"/>
    <w:rsid w:val="001C456C"/>
    <w:rsid w:val="001C6273"/>
    <w:rsid w:val="001C77A0"/>
    <w:rsid w:val="001D1CB7"/>
    <w:rsid w:val="001D2DE4"/>
    <w:rsid w:val="001D7751"/>
    <w:rsid w:val="001E10EE"/>
    <w:rsid w:val="001E16E8"/>
    <w:rsid w:val="001E320E"/>
    <w:rsid w:val="001E3931"/>
    <w:rsid w:val="001E403B"/>
    <w:rsid w:val="001E4325"/>
    <w:rsid w:val="001F2117"/>
    <w:rsid w:val="001F44D6"/>
    <w:rsid w:val="001F4D48"/>
    <w:rsid w:val="001F7269"/>
    <w:rsid w:val="001F7468"/>
    <w:rsid w:val="00203491"/>
    <w:rsid w:val="00204320"/>
    <w:rsid w:val="00204ED8"/>
    <w:rsid w:val="00204F17"/>
    <w:rsid w:val="00205D8D"/>
    <w:rsid w:val="00207E43"/>
    <w:rsid w:val="0021192D"/>
    <w:rsid w:val="00213FB7"/>
    <w:rsid w:val="002146B3"/>
    <w:rsid w:val="002167F9"/>
    <w:rsid w:val="00217B66"/>
    <w:rsid w:val="002244E3"/>
    <w:rsid w:val="00225E67"/>
    <w:rsid w:val="00227F09"/>
    <w:rsid w:val="00231913"/>
    <w:rsid w:val="00232AD8"/>
    <w:rsid w:val="0023355E"/>
    <w:rsid w:val="00240052"/>
    <w:rsid w:val="002435B5"/>
    <w:rsid w:val="00244173"/>
    <w:rsid w:val="00245B82"/>
    <w:rsid w:val="00250FA1"/>
    <w:rsid w:val="002575DC"/>
    <w:rsid w:val="00261DD2"/>
    <w:rsid w:val="002664B8"/>
    <w:rsid w:val="00271373"/>
    <w:rsid w:val="00271A9B"/>
    <w:rsid w:val="00272754"/>
    <w:rsid w:val="00276502"/>
    <w:rsid w:val="002773A4"/>
    <w:rsid w:val="00283447"/>
    <w:rsid w:val="00294F9D"/>
    <w:rsid w:val="002959F4"/>
    <w:rsid w:val="00297E7D"/>
    <w:rsid w:val="002A35DC"/>
    <w:rsid w:val="002A5FAC"/>
    <w:rsid w:val="002A7998"/>
    <w:rsid w:val="002B75F3"/>
    <w:rsid w:val="002C2217"/>
    <w:rsid w:val="002D0AEA"/>
    <w:rsid w:val="002D13DE"/>
    <w:rsid w:val="002D400C"/>
    <w:rsid w:val="002D63D6"/>
    <w:rsid w:val="002E187C"/>
    <w:rsid w:val="002E2B01"/>
    <w:rsid w:val="002E2B89"/>
    <w:rsid w:val="002E772F"/>
    <w:rsid w:val="002F068F"/>
    <w:rsid w:val="002F2322"/>
    <w:rsid w:val="002F2723"/>
    <w:rsid w:val="002F341F"/>
    <w:rsid w:val="002F53AD"/>
    <w:rsid w:val="00304FFD"/>
    <w:rsid w:val="00306672"/>
    <w:rsid w:val="00306CA3"/>
    <w:rsid w:val="00313375"/>
    <w:rsid w:val="003148EB"/>
    <w:rsid w:val="00315B24"/>
    <w:rsid w:val="00315C3D"/>
    <w:rsid w:val="00316A98"/>
    <w:rsid w:val="0031703E"/>
    <w:rsid w:val="00320B5F"/>
    <w:rsid w:val="00330EBA"/>
    <w:rsid w:val="00331255"/>
    <w:rsid w:val="00331B92"/>
    <w:rsid w:val="00333BFC"/>
    <w:rsid w:val="003340EA"/>
    <w:rsid w:val="00336552"/>
    <w:rsid w:val="003369D4"/>
    <w:rsid w:val="00336DF4"/>
    <w:rsid w:val="00342174"/>
    <w:rsid w:val="003423A0"/>
    <w:rsid w:val="003473C0"/>
    <w:rsid w:val="00347EC4"/>
    <w:rsid w:val="00351955"/>
    <w:rsid w:val="0035196E"/>
    <w:rsid w:val="0035382C"/>
    <w:rsid w:val="0035382D"/>
    <w:rsid w:val="00357DDF"/>
    <w:rsid w:val="00357FCF"/>
    <w:rsid w:val="00360371"/>
    <w:rsid w:val="003618ED"/>
    <w:rsid w:val="00365A2C"/>
    <w:rsid w:val="00372D99"/>
    <w:rsid w:val="00375EE5"/>
    <w:rsid w:val="00376E97"/>
    <w:rsid w:val="0038113E"/>
    <w:rsid w:val="003857D1"/>
    <w:rsid w:val="00386957"/>
    <w:rsid w:val="00387FB0"/>
    <w:rsid w:val="003905E2"/>
    <w:rsid w:val="0039122A"/>
    <w:rsid w:val="00391949"/>
    <w:rsid w:val="00391C14"/>
    <w:rsid w:val="00392878"/>
    <w:rsid w:val="0039289B"/>
    <w:rsid w:val="003929BF"/>
    <w:rsid w:val="00394BE1"/>
    <w:rsid w:val="00396B87"/>
    <w:rsid w:val="003B5800"/>
    <w:rsid w:val="003B5F36"/>
    <w:rsid w:val="003B73FE"/>
    <w:rsid w:val="003C10C9"/>
    <w:rsid w:val="003C201B"/>
    <w:rsid w:val="003C30F6"/>
    <w:rsid w:val="003C3254"/>
    <w:rsid w:val="003C4A7D"/>
    <w:rsid w:val="003D0377"/>
    <w:rsid w:val="003D11AF"/>
    <w:rsid w:val="003D400A"/>
    <w:rsid w:val="003E13DA"/>
    <w:rsid w:val="003E18B1"/>
    <w:rsid w:val="003E47F0"/>
    <w:rsid w:val="003E5979"/>
    <w:rsid w:val="003E6414"/>
    <w:rsid w:val="003E7CAF"/>
    <w:rsid w:val="003E7F12"/>
    <w:rsid w:val="003F2906"/>
    <w:rsid w:val="003F2FE1"/>
    <w:rsid w:val="003F3C45"/>
    <w:rsid w:val="003F6B97"/>
    <w:rsid w:val="003F7A6F"/>
    <w:rsid w:val="00401350"/>
    <w:rsid w:val="00401AAA"/>
    <w:rsid w:val="00403F69"/>
    <w:rsid w:val="00410956"/>
    <w:rsid w:val="00411AC7"/>
    <w:rsid w:val="00413906"/>
    <w:rsid w:val="00414663"/>
    <w:rsid w:val="00414B2E"/>
    <w:rsid w:val="00415203"/>
    <w:rsid w:val="004155D3"/>
    <w:rsid w:val="00415822"/>
    <w:rsid w:val="00416141"/>
    <w:rsid w:val="00420041"/>
    <w:rsid w:val="00422802"/>
    <w:rsid w:val="00425772"/>
    <w:rsid w:val="00425901"/>
    <w:rsid w:val="004267B5"/>
    <w:rsid w:val="00430205"/>
    <w:rsid w:val="004325FD"/>
    <w:rsid w:val="00433E30"/>
    <w:rsid w:val="00443E73"/>
    <w:rsid w:val="00447587"/>
    <w:rsid w:val="00451D0A"/>
    <w:rsid w:val="0045691A"/>
    <w:rsid w:val="00462F4E"/>
    <w:rsid w:val="00462F59"/>
    <w:rsid w:val="00463189"/>
    <w:rsid w:val="0047223C"/>
    <w:rsid w:val="00472388"/>
    <w:rsid w:val="004733A4"/>
    <w:rsid w:val="00473ABB"/>
    <w:rsid w:val="004746F6"/>
    <w:rsid w:val="004748D3"/>
    <w:rsid w:val="004765B7"/>
    <w:rsid w:val="00476BC6"/>
    <w:rsid w:val="00476D5F"/>
    <w:rsid w:val="0048025F"/>
    <w:rsid w:val="00481005"/>
    <w:rsid w:val="00481345"/>
    <w:rsid w:val="00484B30"/>
    <w:rsid w:val="00486EA0"/>
    <w:rsid w:val="00486EE2"/>
    <w:rsid w:val="0049039B"/>
    <w:rsid w:val="00494CF5"/>
    <w:rsid w:val="004A113D"/>
    <w:rsid w:val="004A3834"/>
    <w:rsid w:val="004B08D9"/>
    <w:rsid w:val="004B0CC8"/>
    <w:rsid w:val="004B2A7D"/>
    <w:rsid w:val="004B2EF7"/>
    <w:rsid w:val="004B4481"/>
    <w:rsid w:val="004B4A13"/>
    <w:rsid w:val="004B5330"/>
    <w:rsid w:val="004B5374"/>
    <w:rsid w:val="004C3281"/>
    <w:rsid w:val="004C3E21"/>
    <w:rsid w:val="004C6C3F"/>
    <w:rsid w:val="004D0370"/>
    <w:rsid w:val="004D23E5"/>
    <w:rsid w:val="004D3035"/>
    <w:rsid w:val="004D3213"/>
    <w:rsid w:val="004D4768"/>
    <w:rsid w:val="004D50AD"/>
    <w:rsid w:val="004E05C7"/>
    <w:rsid w:val="004E1B88"/>
    <w:rsid w:val="004E1F59"/>
    <w:rsid w:val="004E284F"/>
    <w:rsid w:val="004E3C75"/>
    <w:rsid w:val="004E3FF8"/>
    <w:rsid w:val="004E57A0"/>
    <w:rsid w:val="004E5875"/>
    <w:rsid w:val="004E63FC"/>
    <w:rsid w:val="004E6F8C"/>
    <w:rsid w:val="004F0643"/>
    <w:rsid w:val="004F11FD"/>
    <w:rsid w:val="004F28A2"/>
    <w:rsid w:val="004F4EAD"/>
    <w:rsid w:val="004F571D"/>
    <w:rsid w:val="004F74FD"/>
    <w:rsid w:val="0050086B"/>
    <w:rsid w:val="005032AF"/>
    <w:rsid w:val="005071DD"/>
    <w:rsid w:val="0051089F"/>
    <w:rsid w:val="00510BA8"/>
    <w:rsid w:val="005119BD"/>
    <w:rsid w:val="005122DA"/>
    <w:rsid w:val="00515C30"/>
    <w:rsid w:val="005178A0"/>
    <w:rsid w:val="005200D6"/>
    <w:rsid w:val="00520A10"/>
    <w:rsid w:val="0052161A"/>
    <w:rsid w:val="00536272"/>
    <w:rsid w:val="00536464"/>
    <w:rsid w:val="005369BC"/>
    <w:rsid w:val="00537049"/>
    <w:rsid w:val="00542042"/>
    <w:rsid w:val="0054453E"/>
    <w:rsid w:val="0054615B"/>
    <w:rsid w:val="00546E56"/>
    <w:rsid w:val="00546E5F"/>
    <w:rsid w:val="005475FD"/>
    <w:rsid w:val="005506E3"/>
    <w:rsid w:val="0055180C"/>
    <w:rsid w:val="0055182C"/>
    <w:rsid w:val="00551DDA"/>
    <w:rsid w:val="005526D2"/>
    <w:rsid w:val="00552F6C"/>
    <w:rsid w:val="005636C7"/>
    <w:rsid w:val="0056610A"/>
    <w:rsid w:val="005672EE"/>
    <w:rsid w:val="0057022B"/>
    <w:rsid w:val="00576A81"/>
    <w:rsid w:val="00576AF3"/>
    <w:rsid w:val="005803B4"/>
    <w:rsid w:val="0058103D"/>
    <w:rsid w:val="005823B5"/>
    <w:rsid w:val="00582917"/>
    <w:rsid w:val="0058449D"/>
    <w:rsid w:val="00584969"/>
    <w:rsid w:val="00590B5A"/>
    <w:rsid w:val="00591424"/>
    <w:rsid w:val="0059247A"/>
    <w:rsid w:val="00592914"/>
    <w:rsid w:val="00592C34"/>
    <w:rsid w:val="00593356"/>
    <w:rsid w:val="00594199"/>
    <w:rsid w:val="00594A76"/>
    <w:rsid w:val="005A01D7"/>
    <w:rsid w:val="005A0747"/>
    <w:rsid w:val="005A695F"/>
    <w:rsid w:val="005A6EA2"/>
    <w:rsid w:val="005A7CAF"/>
    <w:rsid w:val="005A7FD0"/>
    <w:rsid w:val="005B0155"/>
    <w:rsid w:val="005B27B4"/>
    <w:rsid w:val="005B6A93"/>
    <w:rsid w:val="005B7403"/>
    <w:rsid w:val="005C5343"/>
    <w:rsid w:val="005C76D2"/>
    <w:rsid w:val="005C79B7"/>
    <w:rsid w:val="005D0DC8"/>
    <w:rsid w:val="005D19B4"/>
    <w:rsid w:val="005D21DA"/>
    <w:rsid w:val="005D268C"/>
    <w:rsid w:val="005D3567"/>
    <w:rsid w:val="005D74F7"/>
    <w:rsid w:val="005D76B3"/>
    <w:rsid w:val="005E067A"/>
    <w:rsid w:val="005E5016"/>
    <w:rsid w:val="005E7A62"/>
    <w:rsid w:val="005F0725"/>
    <w:rsid w:val="005F25AA"/>
    <w:rsid w:val="005F2708"/>
    <w:rsid w:val="005F42CF"/>
    <w:rsid w:val="005F5030"/>
    <w:rsid w:val="005F710D"/>
    <w:rsid w:val="00600779"/>
    <w:rsid w:val="006009CD"/>
    <w:rsid w:val="00601040"/>
    <w:rsid w:val="0060268F"/>
    <w:rsid w:val="00614726"/>
    <w:rsid w:val="00615B85"/>
    <w:rsid w:val="0061735F"/>
    <w:rsid w:val="006238A4"/>
    <w:rsid w:val="00624B65"/>
    <w:rsid w:val="0063018A"/>
    <w:rsid w:val="006305D9"/>
    <w:rsid w:val="00631C7C"/>
    <w:rsid w:val="00631F81"/>
    <w:rsid w:val="006348D0"/>
    <w:rsid w:val="006361A0"/>
    <w:rsid w:val="00636470"/>
    <w:rsid w:val="00650244"/>
    <w:rsid w:val="00653A82"/>
    <w:rsid w:val="0065540D"/>
    <w:rsid w:val="00655EFE"/>
    <w:rsid w:val="006562F5"/>
    <w:rsid w:val="00665AE2"/>
    <w:rsid w:val="00667024"/>
    <w:rsid w:val="006762A6"/>
    <w:rsid w:val="00680587"/>
    <w:rsid w:val="0068339F"/>
    <w:rsid w:val="006849FD"/>
    <w:rsid w:val="0068553A"/>
    <w:rsid w:val="006860BB"/>
    <w:rsid w:val="00686440"/>
    <w:rsid w:val="00690B43"/>
    <w:rsid w:val="00690CE4"/>
    <w:rsid w:val="0069133B"/>
    <w:rsid w:val="00692973"/>
    <w:rsid w:val="00692E36"/>
    <w:rsid w:val="0069763E"/>
    <w:rsid w:val="00697F21"/>
    <w:rsid w:val="006A0ED7"/>
    <w:rsid w:val="006A1683"/>
    <w:rsid w:val="006A229E"/>
    <w:rsid w:val="006A454F"/>
    <w:rsid w:val="006A4FFE"/>
    <w:rsid w:val="006A562E"/>
    <w:rsid w:val="006A7501"/>
    <w:rsid w:val="006A78C9"/>
    <w:rsid w:val="006C131C"/>
    <w:rsid w:val="006C1438"/>
    <w:rsid w:val="006C1907"/>
    <w:rsid w:val="006C1BC4"/>
    <w:rsid w:val="006C58BE"/>
    <w:rsid w:val="006C633F"/>
    <w:rsid w:val="006C6A05"/>
    <w:rsid w:val="006D003A"/>
    <w:rsid w:val="006D0BF3"/>
    <w:rsid w:val="006D14DE"/>
    <w:rsid w:val="006D3C2E"/>
    <w:rsid w:val="006D454B"/>
    <w:rsid w:val="006D501F"/>
    <w:rsid w:val="006F3060"/>
    <w:rsid w:val="006F3889"/>
    <w:rsid w:val="006F3FB7"/>
    <w:rsid w:val="006F4694"/>
    <w:rsid w:val="006F748B"/>
    <w:rsid w:val="00702D3E"/>
    <w:rsid w:val="007112A4"/>
    <w:rsid w:val="00717288"/>
    <w:rsid w:val="0072621A"/>
    <w:rsid w:val="0072696D"/>
    <w:rsid w:val="00726A07"/>
    <w:rsid w:val="007274CC"/>
    <w:rsid w:val="0073025B"/>
    <w:rsid w:val="007304FB"/>
    <w:rsid w:val="00732988"/>
    <w:rsid w:val="00733923"/>
    <w:rsid w:val="00733B41"/>
    <w:rsid w:val="0073782F"/>
    <w:rsid w:val="00743206"/>
    <w:rsid w:val="00743F16"/>
    <w:rsid w:val="00745896"/>
    <w:rsid w:val="00747F19"/>
    <w:rsid w:val="00752C88"/>
    <w:rsid w:val="00754074"/>
    <w:rsid w:val="007554B3"/>
    <w:rsid w:val="00755DC3"/>
    <w:rsid w:val="00757140"/>
    <w:rsid w:val="00770229"/>
    <w:rsid w:val="0077088C"/>
    <w:rsid w:val="00774224"/>
    <w:rsid w:val="0078036B"/>
    <w:rsid w:val="00780F69"/>
    <w:rsid w:val="00782F50"/>
    <w:rsid w:val="0078366A"/>
    <w:rsid w:val="007858F4"/>
    <w:rsid w:val="00795882"/>
    <w:rsid w:val="007974F6"/>
    <w:rsid w:val="00797C8B"/>
    <w:rsid w:val="007A25CD"/>
    <w:rsid w:val="007A2DF8"/>
    <w:rsid w:val="007A3428"/>
    <w:rsid w:val="007A50B3"/>
    <w:rsid w:val="007C72D1"/>
    <w:rsid w:val="007C750C"/>
    <w:rsid w:val="007C7CB9"/>
    <w:rsid w:val="007D1997"/>
    <w:rsid w:val="007D4354"/>
    <w:rsid w:val="007D5AE9"/>
    <w:rsid w:val="007E036C"/>
    <w:rsid w:val="007E1787"/>
    <w:rsid w:val="007E518C"/>
    <w:rsid w:val="007E6E52"/>
    <w:rsid w:val="007E7920"/>
    <w:rsid w:val="007E7B78"/>
    <w:rsid w:val="007F679D"/>
    <w:rsid w:val="007F765D"/>
    <w:rsid w:val="00802821"/>
    <w:rsid w:val="00807809"/>
    <w:rsid w:val="0081050D"/>
    <w:rsid w:val="00813CC0"/>
    <w:rsid w:val="00814966"/>
    <w:rsid w:val="008158C3"/>
    <w:rsid w:val="008159A3"/>
    <w:rsid w:val="0081671C"/>
    <w:rsid w:val="00816B58"/>
    <w:rsid w:val="008179FF"/>
    <w:rsid w:val="008232CC"/>
    <w:rsid w:val="0082427B"/>
    <w:rsid w:val="00826C01"/>
    <w:rsid w:val="00831766"/>
    <w:rsid w:val="00832378"/>
    <w:rsid w:val="00843AC9"/>
    <w:rsid w:val="00847FCA"/>
    <w:rsid w:val="008507F3"/>
    <w:rsid w:val="00851960"/>
    <w:rsid w:val="0085452D"/>
    <w:rsid w:val="0085720D"/>
    <w:rsid w:val="0086122E"/>
    <w:rsid w:val="00862F48"/>
    <w:rsid w:val="00865F9F"/>
    <w:rsid w:val="00866510"/>
    <w:rsid w:val="00867F2C"/>
    <w:rsid w:val="00873649"/>
    <w:rsid w:val="00874908"/>
    <w:rsid w:val="00874BB3"/>
    <w:rsid w:val="008773FC"/>
    <w:rsid w:val="00877AE3"/>
    <w:rsid w:val="00881ABB"/>
    <w:rsid w:val="00882592"/>
    <w:rsid w:val="00884FB3"/>
    <w:rsid w:val="008860E3"/>
    <w:rsid w:val="00892ADC"/>
    <w:rsid w:val="00893349"/>
    <w:rsid w:val="00893A8E"/>
    <w:rsid w:val="00894015"/>
    <w:rsid w:val="00894B88"/>
    <w:rsid w:val="00896A27"/>
    <w:rsid w:val="00897286"/>
    <w:rsid w:val="008A1ED4"/>
    <w:rsid w:val="008A66F1"/>
    <w:rsid w:val="008A7155"/>
    <w:rsid w:val="008B73FD"/>
    <w:rsid w:val="008B76E8"/>
    <w:rsid w:val="008C2C81"/>
    <w:rsid w:val="008C6B87"/>
    <w:rsid w:val="008D2FA4"/>
    <w:rsid w:val="008E0B28"/>
    <w:rsid w:val="008E2DB6"/>
    <w:rsid w:val="008E474E"/>
    <w:rsid w:val="008F2458"/>
    <w:rsid w:val="008F4D24"/>
    <w:rsid w:val="008F74F0"/>
    <w:rsid w:val="00900E39"/>
    <w:rsid w:val="00901C42"/>
    <w:rsid w:val="00902C5D"/>
    <w:rsid w:val="00902F64"/>
    <w:rsid w:val="00904952"/>
    <w:rsid w:val="00904F43"/>
    <w:rsid w:val="00905BDA"/>
    <w:rsid w:val="009071AE"/>
    <w:rsid w:val="0091140F"/>
    <w:rsid w:val="00912665"/>
    <w:rsid w:val="00912AE6"/>
    <w:rsid w:val="00914139"/>
    <w:rsid w:val="00915909"/>
    <w:rsid w:val="00920B8C"/>
    <w:rsid w:val="00921ADE"/>
    <w:rsid w:val="00924E1D"/>
    <w:rsid w:val="00925D32"/>
    <w:rsid w:val="009261B5"/>
    <w:rsid w:val="00926504"/>
    <w:rsid w:val="00932FF9"/>
    <w:rsid w:val="00936754"/>
    <w:rsid w:val="009370FD"/>
    <w:rsid w:val="00942EE3"/>
    <w:rsid w:val="009432AF"/>
    <w:rsid w:val="00944E03"/>
    <w:rsid w:val="00945CE2"/>
    <w:rsid w:val="00946E77"/>
    <w:rsid w:val="00950E3A"/>
    <w:rsid w:val="0095368F"/>
    <w:rsid w:val="00953EA4"/>
    <w:rsid w:val="009552CC"/>
    <w:rsid w:val="00961BAB"/>
    <w:rsid w:val="00964BF7"/>
    <w:rsid w:val="009662FF"/>
    <w:rsid w:val="00967C2F"/>
    <w:rsid w:val="00971715"/>
    <w:rsid w:val="00972BA2"/>
    <w:rsid w:val="009734C8"/>
    <w:rsid w:val="00975858"/>
    <w:rsid w:val="0098027C"/>
    <w:rsid w:val="00981D78"/>
    <w:rsid w:val="00981D8F"/>
    <w:rsid w:val="009826EF"/>
    <w:rsid w:val="00982C30"/>
    <w:rsid w:val="00983978"/>
    <w:rsid w:val="009879F2"/>
    <w:rsid w:val="00991E23"/>
    <w:rsid w:val="00992D1C"/>
    <w:rsid w:val="0099465C"/>
    <w:rsid w:val="009A142F"/>
    <w:rsid w:val="009A2D67"/>
    <w:rsid w:val="009A3320"/>
    <w:rsid w:val="009A4756"/>
    <w:rsid w:val="009B6AA6"/>
    <w:rsid w:val="009B7598"/>
    <w:rsid w:val="009B7B80"/>
    <w:rsid w:val="009C1033"/>
    <w:rsid w:val="009C1AD1"/>
    <w:rsid w:val="009C1AF6"/>
    <w:rsid w:val="009C2485"/>
    <w:rsid w:val="009C68ED"/>
    <w:rsid w:val="009D0932"/>
    <w:rsid w:val="009D3175"/>
    <w:rsid w:val="009D32E4"/>
    <w:rsid w:val="009E05F1"/>
    <w:rsid w:val="009E16CB"/>
    <w:rsid w:val="009E64E2"/>
    <w:rsid w:val="009F262B"/>
    <w:rsid w:val="009F3DE0"/>
    <w:rsid w:val="009F5217"/>
    <w:rsid w:val="009F598E"/>
    <w:rsid w:val="009F653D"/>
    <w:rsid w:val="00A012DF"/>
    <w:rsid w:val="00A01FBB"/>
    <w:rsid w:val="00A02CC6"/>
    <w:rsid w:val="00A059DE"/>
    <w:rsid w:val="00A07973"/>
    <w:rsid w:val="00A12505"/>
    <w:rsid w:val="00A12963"/>
    <w:rsid w:val="00A16F08"/>
    <w:rsid w:val="00A23170"/>
    <w:rsid w:val="00A23628"/>
    <w:rsid w:val="00A27D08"/>
    <w:rsid w:val="00A309A4"/>
    <w:rsid w:val="00A31C5D"/>
    <w:rsid w:val="00A36DC6"/>
    <w:rsid w:val="00A40267"/>
    <w:rsid w:val="00A4580E"/>
    <w:rsid w:val="00A45F9A"/>
    <w:rsid w:val="00A46163"/>
    <w:rsid w:val="00A510BE"/>
    <w:rsid w:val="00A525E8"/>
    <w:rsid w:val="00A535DA"/>
    <w:rsid w:val="00A542BA"/>
    <w:rsid w:val="00A54828"/>
    <w:rsid w:val="00A57312"/>
    <w:rsid w:val="00A606EA"/>
    <w:rsid w:val="00A61D7E"/>
    <w:rsid w:val="00A6293E"/>
    <w:rsid w:val="00A62EC8"/>
    <w:rsid w:val="00A657FE"/>
    <w:rsid w:val="00A66BD7"/>
    <w:rsid w:val="00A67B3D"/>
    <w:rsid w:val="00A719F2"/>
    <w:rsid w:val="00A745B7"/>
    <w:rsid w:val="00A76F75"/>
    <w:rsid w:val="00A822DB"/>
    <w:rsid w:val="00A8383D"/>
    <w:rsid w:val="00A83C97"/>
    <w:rsid w:val="00A85207"/>
    <w:rsid w:val="00A876B6"/>
    <w:rsid w:val="00A93B06"/>
    <w:rsid w:val="00AA33D1"/>
    <w:rsid w:val="00AA658D"/>
    <w:rsid w:val="00AA71C6"/>
    <w:rsid w:val="00AB3934"/>
    <w:rsid w:val="00AC3212"/>
    <w:rsid w:val="00AC5ABE"/>
    <w:rsid w:val="00AC62BA"/>
    <w:rsid w:val="00AD3A57"/>
    <w:rsid w:val="00AD5B8A"/>
    <w:rsid w:val="00AD76E9"/>
    <w:rsid w:val="00AD7D0A"/>
    <w:rsid w:val="00AE173F"/>
    <w:rsid w:val="00AE1D84"/>
    <w:rsid w:val="00AE6CB4"/>
    <w:rsid w:val="00AF00E5"/>
    <w:rsid w:val="00AF1B90"/>
    <w:rsid w:val="00AF1C83"/>
    <w:rsid w:val="00AF547E"/>
    <w:rsid w:val="00B023AA"/>
    <w:rsid w:val="00B024D2"/>
    <w:rsid w:val="00B03E50"/>
    <w:rsid w:val="00B10558"/>
    <w:rsid w:val="00B120DF"/>
    <w:rsid w:val="00B1237B"/>
    <w:rsid w:val="00B13C5F"/>
    <w:rsid w:val="00B13DAC"/>
    <w:rsid w:val="00B21E41"/>
    <w:rsid w:val="00B27D8F"/>
    <w:rsid w:val="00B30302"/>
    <w:rsid w:val="00B3039F"/>
    <w:rsid w:val="00B32921"/>
    <w:rsid w:val="00B33ECE"/>
    <w:rsid w:val="00B36714"/>
    <w:rsid w:val="00B37460"/>
    <w:rsid w:val="00B405B1"/>
    <w:rsid w:val="00B40E6C"/>
    <w:rsid w:val="00B42A1B"/>
    <w:rsid w:val="00B44524"/>
    <w:rsid w:val="00B45BB1"/>
    <w:rsid w:val="00B518FA"/>
    <w:rsid w:val="00B542AA"/>
    <w:rsid w:val="00B5652F"/>
    <w:rsid w:val="00B5699D"/>
    <w:rsid w:val="00B576F8"/>
    <w:rsid w:val="00B62008"/>
    <w:rsid w:val="00B675B9"/>
    <w:rsid w:val="00B67BA7"/>
    <w:rsid w:val="00B707B8"/>
    <w:rsid w:val="00B72639"/>
    <w:rsid w:val="00B77734"/>
    <w:rsid w:val="00B807BD"/>
    <w:rsid w:val="00B82050"/>
    <w:rsid w:val="00B824FE"/>
    <w:rsid w:val="00B84B25"/>
    <w:rsid w:val="00B86D2B"/>
    <w:rsid w:val="00B90051"/>
    <w:rsid w:val="00B9245C"/>
    <w:rsid w:val="00B9376B"/>
    <w:rsid w:val="00B93A99"/>
    <w:rsid w:val="00BA034A"/>
    <w:rsid w:val="00BA1EBF"/>
    <w:rsid w:val="00BA4BD1"/>
    <w:rsid w:val="00BA5F9D"/>
    <w:rsid w:val="00BB0346"/>
    <w:rsid w:val="00BB1624"/>
    <w:rsid w:val="00BB32B2"/>
    <w:rsid w:val="00BB5979"/>
    <w:rsid w:val="00BC311D"/>
    <w:rsid w:val="00BC3C05"/>
    <w:rsid w:val="00BC3C1D"/>
    <w:rsid w:val="00BD054C"/>
    <w:rsid w:val="00BD56CF"/>
    <w:rsid w:val="00BE05E6"/>
    <w:rsid w:val="00BE0FC6"/>
    <w:rsid w:val="00BE2476"/>
    <w:rsid w:val="00BE340E"/>
    <w:rsid w:val="00BE3DA9"/>
    <w:rsid w:val="00BF3A2A"/>
    <w:rsid w:val="00BF3AD1"/>
    <w:rsid w:val="00C012F1"/>
    <w:rsid w:val="00C03C91"/>
    <w:rsid w:val="00C04A5A"/>
    <w:rsid w:val="00C0697C"/>
    <w:rsid w:val="00C100D2"/>
    <w:rsid w:val="00C20BB0"/>
    <w:rsid w:val="00C2367D"/>
    <w:rsid w:val="00C23BA1"/>
    <w:rsid w:val="00C2494C"/>
    <w:rsid w:val="00C27621"/>
    <w:rsid w:val="00C307AE"/>
    <w:rsid w:val="00C32C27"/>
    <w:rsid w:val="00C35E18"/>
    <w:rsid w:val="00C3793E"/>
    <w:rsid w:val="00C413DE"/>
    <w:rsid w:val="00C43FBF"/>
    <w:rsid w:val="00C4524A"/>
    <w:rsid w:val="00C51336"/>
    <w:rsid w:val="00C53527"/>
    <w:rsid w:val="00C55794"/>
    <w:rsid w:val="00C56572"/>
    <w:rsid w:val="00C616EF"/>
    <w:rsid w:val="00C6257B"/>
    <w:rsid w:val="00C62BF9"/>
    <w:rsid w:val="00C64C46"/>
    <w:rsid w:val="00C64CD7"/>
    <w:rsid w:val="00C6648F"/>
    <w:rsid w:val="00C671E0"/>
    <w:rsid w:val="00C67D84"/>
    <w:rsid w:val="00C749DE"/>
    <w:rsid w:val="00C8064B"/>
    <w:rsid w:val="00C84150"/>
    <w:rsid w:val="00C84157"/>
    <w:rsid w:val="00C92CF8"/>
    <w:rsid w:val="00C94B05"/>
    <w:rsid w:val="00CA0792"/>
    <w:rsid w:val="00CA5276"/>
    <w:rsid w:val="00CB01F9"/>
    <w:rsid w:val="00CB09E5"/>
    <w:rsid w:val="00CB0FEA"/>
    <w:rsid w:val="00CB3FFE"/>
    <w:rsid w:val="00CC1293"/>
    <w:rsid w:val="00CC2AF3"/>
    <w:rsid w:val="00CC3C05"/>
    <w:rsid w:val="00CC7DDA"/>
    <w:rsid w:val="00CD10F1"/>
    <w:rsid w:val="00CD27C0"/>
    <w:rsid w:val="00CD5609"/>
    <w:rsid w:val="00CD5FE5"/>
    <w:rsid w:val="00CD7C7F"/>
    <w:rsid w:val="00CD7EC1"/>
    <w:rsid w:val="00CE15E6"/>
    <w:rsid w:val="00CE1E6F"/>
    <w:rsid w:val="00CE5E2C"/>
    <w:rsid w:val="00CE669A"/>
    <w:rsid w:val="00CE6928"/>
    <w:rsid w:val="00CF2C7A"/>
    <w:rsid w:val="00CF52C0"/>
    <w:rsid w:val="00CF54E4"/>
    <w:rsid w:val="00CF7930"/>
    <w:rsid w:val="00D008A1"/>
    <w:rsid w:val="00D01C8A"/>
    <w:rsid w:val="00D025F9"/>
    <w:rsid w:val="00D10B84"/>
    <w:rsid w:val="00D12A3B"/>
    <w:rsid w:val="00D201D7"/>
    <w:rsid w:val="00D217D9"/>
    <w:rsid w:val="00D21C55"/>
    <w:rsid w:val="00D22190"/>
    <w:rsid w:val="00D238F9"/>
    <w:rsid w:val="00D240A6"/>
    <w:rsid w:val="00D2789B"/>
    <w:rsid w:val="00D31869"/>
    <w:rsid w:val="00D33D1C"/>
    <w:rsid w:val="00D3545A"/>
    <w:rsid w:val="00D35BB7"/>
    <w:rsid w:val="00D40E25"/>
    <w:rsid w:val="00D47E4E"/>
    <w:rsid w:val="00D50113"/>
    <w:rsid w:val="00D5165C"/>
    <w:rsid w:val="00D53B01"/>
    <w:rsid w:val="00D55B85"/>
    <w:rsid w:val="00D578EF"/>
    <w:rsid w:val="00D60A71"/>
    <w:rsid w:val="00D654C8"/>
    <w:rsid w:val="00D6761D"/>
    <w:rsid w:val="00D6790C"/>
    <w:rsid w:val="00D717B4"/>
    <w:rsid w:val="00D72390"/>
    <w:rsid w:val="00D844C4"/>
    <w:rsid w:val="00D879AF"/>
    <w:rsid w:val="00D9142E"/>
    <w:rsid w:val="00D93051"/>
    <w:rsid w:val="00D93223"/>
    <w:rsid w:val="00D93B38"/>
    <w:rsid w:val="00D97947"/>
    <w:rsid w:val="00DA0BF1"/>
    <w:rsid w:val="00DA0CDB"/>
    <w:rsid w:val="00DA44E9"/>
    <w:rsid w:val="00DA5467"/>
    <w:rsid w:val="00DA7FE0"/>
    <w:rsid w:val="00DB0732"/>
    <w:rsid w:val="00DB10B6"/>
    <w:rsid w:val="00DB4007"/>
    <w:rsid w:val="00DB5D3D"/>
    <w:rsid w:val="00DC57BF"/>
    <w:rsid w:val="00DC7BFE"/>
    <w:rsid w:val="00DD700B"/>
    <w:rsid w:val="00DE008A"/>
    <w:rsid w:val="00DE5CC5"/>
    <w:rsid w:val="00DE6E21"/>
    <w:rsid w:val="00DE7E8C"/>
    <w:rsid w:val="00DF2A13"/>
    <w:rsid w:val="00DF6684"/>
    <w:rsid w:val="00E01810"/>
    <w:rsid w:val="00E01F42"/>
    <w:rsid w:val="00E0679A"/>
    <w:rsid w:val="00E12BCB"/>
    <w:rsid w:val="00E151B6"/>
    <w:rsid w:val="00E2302D"/>
    <w:rsid w:val="00E24DDA"/>
    <w:rsid w:val="00E25B56"/>
    <w:rsid w:val="00E260E2"/>
    <w:rsid w:val="00E27115"/>
    <w:rsid w:val="00E30CAC"/>
    <w:rsid w:val="00E31271"/>
    <w:rsid w:val="00E3472A"/>
    <w:rsid w:val="00E4187C"/>
    <w:rsid w:val="00E42911"/>
    <w:rsid w:val="00E4432C"/>
    <w:rsid w:val="00E4538D"/>
    <w:rsid w:val="00E45A78"/>
    <w:rsid w:val="00E520FA"/>
    <w:rsid w:val="00E542D3"/>
    <w:rsid w:val="00E576ED"/>
    <w:rsid w:val="00E64819"/>
    <w:rsid w:val="00E71158"/>
    <w:rsid w:val="00E716C6"/>
    <w:rsid w:val="00E73835"/>
    <w:rsid w:val="00E7577D"/>
    <w:rsid w:val="00E762D8"/>
    <w:rsid w:val="00E860FF"/>
    <w:rsid w:val="00E92AED"/>
    <w:rsid w:val="00E93A31"/>
    <w:rsid w:val="00E93C7B"/>
    <w:rsid w:val="00E945F9"/>
    <w:rsid w:val="00EA03BB"/>
    <w:rsid w:val="00EA06BB"/>
    <w:rsid w:val="00EA0F17"/>
    <w:rsid w:val="00EA5BDE"/>
    <w:rsid w:val="00EA6074"/>
    <w:rsid w:val="00EA65E0"/>
    <w:rsid w:val="00EB1C18"/>
    <w:rsid w:val="00EB286A"/>
    <w:rsid w:val="00EB3BA5"/>
    <w:rsid w:val="00EB735B"/>
    <w:rsid w:val="00EB7D90"/>
    <w:rsid w:val="00EC69BE"/>
    <w:rsid w:val="00ED6593"/>
    <w:rsid w:val="00ED6F65"/>
    <w:rsid w:val="00ED7D97"/>
    <w:rsid w:val="00EE03D1"/>
    <w:rsid w:val="00EE514B"/>
    <w:rsid w:val="00EE5524"/>
    <w:rsid w:val="00EE65AB"/>
    <w:rsid w:val="00EE6D8F"/>
    <w:rsid w:val="00EF1885"/>
    <w:rsid w:val="00EF3219"/>
    <w:rsid w:val="00F002EC"/>
    <w:rsid w:val="00F00AF5"/>
    <w:rsid w:val="00F028E2"/>
    <w:rsid w:val="00F02AF1"/>
    <w:rsid w:val="00F04436"/>
    <w:rsid w:val="00F0512F"/>
    <w:rsid w:val="00F05245"/>
    <w:rsid w:val="00F06763"/>
    <w:rsid w:val="00F06A6A"/>
    <w:rsid w:val="00F0727B"/>
    <w:rsid w:val="00F131B1"/>
    <w:rsid w:val="00F144B0"/>
    <w:rsid w:val="00F171EA"/>
    <w:rsid w:val="00F21296"/>
    <w:rsid w:val="00F231BA"/>
    <w:rsid w:val="00F24C41"/>
    <w:rsid w:val="00F25E6B"/>
    <w:rsid w:val="00F267D1"/>
    <w:rsid w:val="00F26F6C"/>
    <w:rsid w:val="00F3015C"/>
    <w:rsid w:val="00F31F0D"/>
    <w:rsid w:val="00F3472C"/>
    <w:rsid w:val="00F354B0"/>
    <w:rsid w:val="00F40D86"/>
    <w:rsid w:val="00F41125"/>
    <w:rsid w:val="00F47C0F"/>
    <w:rsid w:val="00F51B2F"/>
    <w:rsid w:val="00F5536B"/>
    <w:rsid w:val="00F55823"/>
    <w:rsid w:val="00F64DB3"/>
    <w:rsid w:val="00F67AD2"/>
    <w:rsid w:val="00F70412"/>
    <w:rsid w:val="00F7307D"/>
    <w:rsid w:val="00F74A37"/>
    <w:rsid w:val="00F75ABF"/>
    <w:rsid w:val="00F803D4"/>
    <w:rsid w:val="00F81A75"/>
    <w:rsid w:val="00F82819"/>
    <w:rsid w:val="00F85571"/>
    <w:rsid w:val="00F8651C"/>
    <w:rsid w:val="00F87115"/>
    <w:rsid w:val="00F95A10"/>
    <w:rsid w:val="00FA0DE4"/>
    <w:rsid w:val="00FA1119"/>
    <w:rsid w:val="00FA25EB"/>
    <w:rsid w:val="00FA30DF"/>
    <w:rsid w:val="00FA5110"/>
    <w:rsid w:val="00FB0589"/>
    <w:rsid w:val="00FB1551"/>
    <w:rsid w:val="00FB68A2"/>
    <w:rsid w:val="00FC1C70"/>
    <w:rsid w:val="00FC2CB2"/>
    <w:rsid w:val="00FC37A7"/>
    <w:rsid w:val="00FC37F0"/>
    <w:rsid w:val="00FC4C4B"/>
    <w:rsid w:val="00FC4CE7"/>
    <w:rsid w:val="00FC4D8C"/>
    <w:rsid w:val="00FD7612"/>
    <w:rsid w:val="00FD7C97"/>
    <w:rsid w:val="00FE395F"/>
    <w:rsid w:val="00FF0F51"/>
    <w:rsid w:val="00FF1866"/>
    <w:rsid w:val="00FF2087"/>
    <w:rsid w:val="00FF3C23"/>
    <w:rsid w:val="00FF418B"/>
    <w:rsid w:val="06073B0C"/>
    <w:rsid w:val="0AC795A7"/>
    <w:rsid w:val="0E631731"/>
    <w:rsid w:val="0EA8ABEE"/>
    <w:rsid w:val="0F1E7E45"/>
    <w:rsid w:val="0F228880"/>
    <w:rsid w:val="14805BF1"/>
    <w:rsid w:val="159A72CB"/>
    <w:rsid w:val="1CBBBBF1"/>
    <w:rsid w:val="21EC80E0"/>
    <w:rsid w:val="241DD682"/>
    <w:rsid w:val="2E1E904E"/>
    <w:rsid w:val="34DD26BA"/>
    <w:rsid w:val="533DDDE4"/>
    <w:rsid w:val="6593FDE9"/>
    <w:rsid w:val="743A42D2"/>
    <w:rsid w:val="7A55508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DA1D9"/>
  <w15:chartTrackingRefBased/>
  <w15:docId w15:val="{FA1E1975-F9A7-44E9-BBC1-A89ED16C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1703E"/>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1539A"/>
    <w:pPr>
      <w:ind w:left="720"/>
      <w:contextualSpacing/>
    </w:pPr>
  </w:style>
  <w:style w:type="character" w:styleId="Collegamentoipertestuale">
    <w:name w:val="Hyperlink"/>
    <w:uiPriority w:val="99"/>
    <w:rsid w:val="000A23E4"/>
    <w:rPr>
      <w:rFonts w:cs="Times New Roman"/>
      <w:color w:val="0000FF"/>
      <w:u w:val="single"/>
    </w:rPr>
  </w:style>
  <w:style w:type="paragraph" w:customStyle="1" w:styleId="paragraph">
    <w:name w:val="paragraph"/>
    <w:basedOn w:val="Normale"/>
    <w:rsid w:val="00357DDF"/>
    <w:pPr>
      <w:spacing w:before="100" w:beforeAutospacing="1" w:after="100" w:afterAutospacing="1"/>
    </w:pPr>
  </w:style>
  <w:style w:type="character" w:customStyle="1" w:styleId="normaltextrun">
    <w:name w:val="normaltextrun"/>
    <w:rsid w:val="00357DDF"/>
  </w:style>
  <w:style w:type="character" w:customStyle="1" w:styleId="eop">
    <w:name w:val="eop"/>
    <w:rsid w:val="00357DDF"/>
  </w:style>
  <w:style w:type="character" w:customStyle="1" w:styleId="spellingerror">
    <w:name w:val="spellingerror"/>
    <w:rsid w:val="00357DDF"/>
  </w:style>
  <w:style w:type="paragraph" w:styleId="Testofumetto">
    <w:name w:val="Balloon Text"/>
    <w:basedOn w:val="Normale"/>
    <w:link w:val="TestofumettoCarattere"/>
    <w:rsid w:val="000E3FEB"/>
    <w:rPr>
      <w:rFonts w:ascii="Segoe UI" w:hAnsi="Segoe UI" w:cs="Segoe UI"/>
      <w:sz w:val="18"/>
      <w:szCs w:val="18"/>
    </w:rPr>
  </w:style>
  <w:style w:type="character" w:customStyle="1" w:styleId="TestofumettoCarattere">
    <w:name w:val="Testo fumetto Carattere"/>
    <w:link w:val="Testofumetto"/>
    <w:rsid w:val="000E3FEB"/>
    <w:rPr>
      <w:rFonts w:ascii="Segoe UI" w:hAnsi="Segoe UI" w:cs="Segoe UI"/>
      <w:sz w:val="18"/>
      <w:szCs w:val="18"/>
    </w:rPr>
  </w:style>
  <w:style w:type="character" w:styleId="Rimandocommento">
    <w:name w:val="annotation reference"/>
    <w:rsid w:val="00C012F1"/>
    <w:rPr>
      <w:sz w:val="16"/>
      <w:szCs w:val="16"/>
    </w:rPr>
  </w:style>
  <w:style w:type="paragraph" w:styleId="Testocommento">
    <w:name w:val="annotation text"/>
    <w:basedOn w:val="Normale"/>
    <w:link w:val="TestocommentoCarattere"/>
    <w:rsid w:val="00C012F1"/>
    <w:rPr>
      <w:sz w:val="20"/>
      <w:szCs w:val="20"/>
    </w:rPr>
  </w:style>
  <w:style w:type="character" w:customStyle="1" w:styleId="TestocommentoCarattere">
    <w:name w:val="Testo commento Carattere"/>
    <w:basedOn w:val="Carpredefinitoparagrafo"/>
    <w:link w:val="Testocommento"/>
    <w:rsid w:val="00C012F1"/>
  </w:style>
  <w:style w:type="paragraph" w:styleId="Soggettocommento">
    <w:name w:val="annotation subject"/>
    <w:basedOn w:val="Testocommento"/>
    <w:next w:val="Testocommento"/>
    <w:link w:val="SoggettocommentoCarattere"/>
    <w:rsid w:val="00C012F1"/>
    <w:rPr>
      <w:b/>
      <w:bCs/>
    </w:rPr>
  </w:style>
  <w:style w:type="character" w:customStyle="1" w:styleId="SoggettocommentoCarattere">
    <w:name w:val="Soggetto commento Carattere"/>
    <w:link w:val="Soggettocommento"/>
    <w:rsid w:val="00C012F1"/>
    <w:rPr>
      <w:b/>
      <w:bCs/>
    </w:rPr>
  </w:style>
  <w:style w:type="paragraph" w:styleId="Testonotaapidipagina">
    <w:name w:val="footnote text"/>
    <w:basedOn w:val="Normale"/>
    <w:link w:val="TestonotaapidipaginaCarattere"/>
    <w:uiPriority w:val="99"/>
    <w:rsid w:val="0038113E"/>
    <w:pPr>
      <w:widowControl w:val="0"/>
      <w:spacing w:line="192" w:lineRule="auto"/>
      <w:ind w:left="170" w:hanging="170"/>
    </w:pPr>
    <w:rPr>
      <w:rFonts w:ascii="Lucida Sans Unicode" w:hAnsi="Lucida Sans Unicode"/>
      <w:color w:val="000000"/>
      <w:sz w:val="16"/>
      <w:szCs w:val="20"/>
    </w:rPr>
  </w:style>
  <w:style w:type="character" w:customStyle="1" w:styleId="TestonotaapidipaginaCarattere">
    <w:name w:val="Testo nota a piè di pagina Carattere"/>
    <w:link w:val="Testonotaapidipagina"/>
    <w:uiPriority w:val="99"/>
    <w:rsid w:val="0038113E"/>
    <w:rPr>
      <w:rFonts w:ascii="Lucida Sans Unicode" w:hAnsi="Lucida Sans Unicode"/>
      <w:color w:val="000000"/>
      <w:sz w:val="16"/>
    </w:rPr>
  </w:style>
  <w:style w:type="character" w:styleId="Menzionenonrisolta">
    <w:name w:val="Unresolved Mention"/>
    <w:basedOn w:val="Carpredefinitoparagrafo"/>
    <w:uiPriority w:val="99"/>
    <w:semiHidden/>
    <w:unhideWhenUsed/>
    <w:rsid w:val="00FA0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9587">
      <w:bodyDiv w:val="1"/>
      <w:marLeft w:val="0"/>
      <w:marRight w:val="0"/>
      <w:marTop w:val="0"/>
      <w:marBottom w:val="0"/>
      <w:divBdr>
        <w:top w:val="none" w:sz="0" w:space="0" w:color="auto"/>
        <w:left w:val="none" w:sz="0" w:space="0" w:color="auto"/>
        <w:bottom w:val="none" w:sz="0" w:space="0" w:color="auto"/>
        <w:right w:val="none" w:sz="0" w:space="0" w:color="auto"/>
      </w:divBdr>
    </w:div>
    <w:div w:id="167453305">
      <w:bodyDiv w:val="1"/>
      <w:marLeft w:val="0"/>
      <w:marRight w:val="0"/>
      <w:marTop w:val="0"/>
      <w:marBottom w:val="0"/>
      <w:divBdr>
        <w:top w:val="none" w:sz="0" w:space="0" w:color="auto"/>
        <w:left w:val="none" w:sz="0" w:space="0" w:color="auto"/>
        <w:bottom w:val="none" w:sz="0" w:space="0" w:color="auto"/>
        <w:right w:val="none" w:sz="0" w:space="0" w:color="auto"/>
      </w:divBdr>
    </w:div>
    <w:div w:id="212275098">
      <w:bodyDiv w:val="1"/>
      <w:marLeft w:val="0"/>
      <w:marRight w:val="0"/>
      <w:marTop w:val="0"/>
      <w:marBottom w:val="0"/>
      <w:divBdr>
        <w:top w:val="none" w:sz="0" w:space="0" w:color="auto"/>
        <w:left w:val="none" w:sz="0" w:space="0" w:color="auto"/>
        <w:bottom w:val="none" w:sz="0" w:space="0" w:color="auto"/>
        <w:right w:val="none" w:sz="0" w:space="0" w:color="auto"/>
      </w:divBdr>
    </w:div>
    <w:div w:id="599800856">
      <w:bodyDiv w:val="1"/>
      <w:marLeft w:val="0"/>
      <w:marRight w:val="0"/>
      <w:marTop w:val="0"/>
      <w:marBottom w:val="0"/>
      <w:divBdr>
        <w:top w:val="none" w:sz="0" w:space="0" w:color="auto"/>
        <w:left w:val="none" w:sz="0" w:space="0" w:color="auto"/>
        <w:bottom w:val="none" w:sz="0" w:space="0" w:color="auto"/>
        <w:right w:val="none" w:sz="0" w:space="0" w:color="auto"/>
      </w:divBdr>
      <w:divsChild>
        <w:div w:id="859046132">
          <w:marLeft w:val="360"/>
          <w:marRight w:val="0"/>
          <w:marTop w:val="200"/>
          <w:marBottom w:val="0"/>
          <w:divBdr>
            <w:top w:val="none" w:sz="0" w:space="0" w:color="auto"/>
            <w:left w:val="none" w:sz="0" w:space="0" w:color="auto"/>
            <w:bottom w:val="none" w:sz="0" w:space="0" w:color="auto"/>
            <w:right w:val="none" w:sz="0" w:space="0" w:color="auto"/>
          </w:divBdr>
        </w:div>
      </w:divsChild>
    </w:div>
    <w:div w:id="658119906">
      <w:bodyDiv w:val="1"/>
      <w:marLeft w:val="0"/>
      <w:marRight w:val="0"/>
      <w:marTop w:val="0"/>
      <w:marBottom w:val="0"/>
      <w:divBdr>
        <w:top w:val="none" w:sz="0" w:space="0" w:color="auto"/>
        <w:left w:val="none" w:sz="0" w:space="0" w:color="auto"/>
        <w:bottom w:val="none" w:sz="0" w:space="0" w:color="auto"/>
        <w:right w:val="none" w:sz="0" w:space="0" w:color="auto"/>
      </w:divBdr>
      <w:divsChild>
        <w:div w:id="2135244753">
          <w:marLeft w:val="0"/>
          <w:marRight w:val="0"/>
          <w:marTop w:val="0"/>
          <w:marBottom w:val="0"/>
          <w:divBdr>
            <w:top w:val="none" w:sz="0" w:space="0" w:color="auto"/>
            <w:left w:val="none" w:sz="0" w:space="0" w:color="auto"/>
            <w:bottom w:val="none" w:sz="0" w:space="0" w:color="auto"/>
            <w:right w:val="none" w:sz="0" w:space="0" w:color="auto"/>
          </w:divBdr>
        </w:div>
        <w:div w:id="1480804595">
          <w:marLeft w:val="0"/>
          <w:marRight w:val="0"/>
          <w:marTop w:val="0"/>
          <w:marBottom w:val="0"/>
          <w:divBdr>
            <w:top w:val="none" w:sz="0" w:space="0" w:color="auto"/>
            <w:left w:val="none" w:sz="0" w:space="0" w:color="auto"/>
            <w:bottom w:val="none" w:sz="0" w:space="0" w:color="auto"/>
            <w:right w:val="none" w:sz="0" w:space="0" w:color="auto"/>
          </w:divBdr>
        </w:div>
        <w:div w:id="803619899">
          <w:marLeft w:val="0"/>
          <w:marRight w:val="0"/>
          <w:marTop w:val="0"/>
          <w:marBottom w:val="0"/>
          <w:divBdr>
            <w:top w:val="none" w:sz="0" w:space="0" w:color="auto"/>
            <w:left w:val="none" w:sz="0" w:space="0" w:color="auto"/>
            <w:bottom w:val="none" w:sz="0" w:space="0" w:color="auto"/>
            <w:right w:val="none" w:sz="0" w:space="0" w:color="auto"/>
          </w:divBdr>
        </w:div>
        <w:div w:id="986780395">
          <w:marLeft w:val="0"/>
          <w:marRight w:val="0"/>
          <w:marTop w:val="0"/>
          <w:marBottom w:val="0"/>
          <w:divBdr>
            <w:top w:val="none" w:sz="0" w:space="0" w:color="auto"/>
            <w:left w:val="none" w:sz="0" w:space="0" w:color="auto"/>
            <w:bottom w:val="none" w:sz="0" w:space="0" w:color="auto"/>
            <w:right w:val="none" w:sz="0" w:space="0" w:color="auto"/>
          </w:divBdr>
        </w:div>
        <w:div w:id="1331760073">
          <w:marLeft w:val="0"/>
          <w:marRight w:val="0"/>
          <w:marTop w:val="0"/>
          <w:marBottom w:val="0"/>
          <w:divBdr>
            <w:top w:val="none" w:sz="0" w:space="0" w:color="auto"/>
            <w:left w:val="none" w:sz="0" w:space="0" w:color="auto"/>
            <w:bottom w:val="none" w:sz="0" w:space="0" w:color="auto"/>
            <w:right w:val="none" w:sz="0" w:space="0" w:color="auto"/>
          </w:divBdr>
        </w:div>
        <w:div w:id="860515481">
          <w:marLeft w:val="0"/>
          <w:marRight w:val="0"/>
          <w:marTop w:val="0"/>
          <w:marBottom w:val="0"/>
          <w:divBdr>
            <w:top w:val="none" w:sz="0" w:space="0" w:color="auto"/>
            <w:left w:val="none" w:sz="0" w:space="0" w:color="auto"/>
            <w:bottom w:val="none" w:sz="0" w:space="0" w:color="auto"/>
            <w:right w:val="none" w:sz="0" w:space="0" w:color="auto"/>
          </w:divBdr>
        </w:div>
        <w:div w:id="1158813278">
          <w:marLeft w:val="0"/>
          <w:marRight w:val="0"/>
          <w:marTop w:val="0"/>
          <w:marBottom w:val="0"/>
          <w:divBdr>
            <w:top w:val="none" w:sz="0" w:space="0" w:color="auto"/>
            <w:left w:val="none" w:sz="0" w:space="0" w:color="auto"/>
            <w:bottom w:val="none" w:sz="0" w:space="0" w:color="auto"/>
            <w:right w:val="none" w:sz="0" w:space="0" w:color="auto"/>
          </w:divBdr>
        </w:div>
      </w:divsChild>
    </w:div>
    <w:div w:id="808789128">
      <w:bodyDiv w:val="1"/>
      <w:marLeft w:val="0"/>
      <w:marRight w:val="0"/>
      <w:marTop w:val="0"/>
      <w:marBottom w:val="0"/>
      <w:divBdr>
        <w:top w:val="none" w:sz="0" w:space="0" w:color="auto"/>
        <w:left w:val="none" w:sz="0" w:space="0" w:color="auto"/>
        <w:bottom w:val="none" w:sz="0" w:space="0" w:color="auto"/>
        <w:right w:val="none" w:sz="0" w:space="0" w:color="auto"/>
      </w:divBdr>
      <w:divsChild>
        <w:div w:id="49692020">
          <w:marLeft w:val="0"/>
          <w:marRight w:val="0"/>
          <w:marTop w:val="0"/>
          <w:marBottom w:val="0"/>
          <w:divBdr>
            <w:top w:val="none" w:sz="0" w:space="0" w:color="auto"/>
            <w:left w:val="none" w:sz="0" w:space="0" w:color="auto"/>
            <w:bottom w:val="none" w:sz="0" w:space="0" w:color="auto"/>
            <w:right w:val="none" w:sz="0" w:space="0" w:color="auto"/>
          </w:divBdr>
        </w:div>
        <w:div w:id="57478376">
          <w:marLeft w:val="0"/>
          <w:marRight w:val="0"/>
          <w:marTop w:val="0"/>
          <w:marBottom w:val="0"/>
          <w:divBdr>
            <w:top w:val="none" w:sz="0" w:space="0" w:color="auto"/>
            <w:left w:val="none" w:sz="0" w:space="0" w:color="auto"/>
            <w:bottom w:val="none" w:sz="0" w:space="0" w:color="auto"/>
            <w:right w:val="none" w:sz="0" w:space="0" w:color="auto"/>
          </w:divBdr>
        </w:div>
        <w:div w:id="59405962">
          <w:marLeft w:val="0"/>
          <w:marRight w:val="0"/>
          <w:marTop w:val="0"/>
          <w:marBottom w:val="0"/>
          <w:divBdr>
            <w:top w:val="none" w:sz="0" w:space="0" w:color="auto"/>
            <w:left w:val="none" w:sz="0" w:space="0" w:color="auto"/>
            <w:bottom w:val="none" w:sz="0" w:space="0" w:color="auto"/>
            <w:right w:val="none" w:sz="0" w:space="0" w:color="auto"/>
          </w:divBdr>
        </w:div>
        <w:div w:id="95947718">
          <w:marLeft w:val="0"/>
          <w:marRight w:val="0"/>
          <w:marTop w:val="0"/>
          <w:marBottom w:val="0"/>
          <w:divBdr>
            <w:top w:val="none" w:sz="0" w:space="0" w:color="auto"/>
            <w:left w:val="none" w:sz="0" w:space="0" w:color="auto"/>
            <w:bottom w:val="none" w:sz="0" w:space="0" w:color="auto"/>
            <w:right w:val="none" w:sz="0" w:space="0" w:color="auto"/>
          </w:divBdr>
        </w:div>
        <w:div w:id="97336622">
          <w:marLeft w:val="0"/>
          <w:marRight w:val="0"/>
          <w:marTop w:val="0"/>
          <w:marBottom w:val="0"/>
          <w:divBdr>
            <w:top w:val="none" w:sz="0" w:space="0" w:color="auto"/>
            <w:left w:val="none" w:sz="0" w:space="0" w:color="auto"/>
            <w:bottom w:val="none" w:sz="0" w:space="0" w:color="auto"/>
            <w:right w:val="none" w:sz="0" w:space="0" w:color="auto"/>
          </w:divBdr>
        </w:div>
        <w:div w:id="144125552">
          <w:marLeft w:val="0"/>
          <w:marRight w:val="0"/>
          <w:marTop w:val="0"/>
          <w:marBottom w:val="0"/>
          <w:divBdr>
            <w:top w:val="none" w:sz="0" w:space="0" w:color="auto"/>
            <w:left w:val="none" w:sz="0" w:space="0" w:color="auto"/>
            <w:bottom w:val="none" w:sz="0" w:space="0" w:color="auto"/>
            <w:right w:val="none" w:sz="0" w:space="0" w:color="auto"/>
          </w:divBdr>
          <w:divsChild>
            <w:div w:id="966858300">
              <w:marLeft w:val="0"/>
              <w:marRight w:val="0"/>
              <w:marTop w:val="0"/>
              <w:marBottom w:val="0"/>
              <w:divBdr>
                <w:top w:val="none" w:sz="0" w:space="0" w:color="auto"/>
                <w:left w:val="none" w:sz="0" w:space="0" w:color="auto"/>
                <w:bottom w:val="none" w:sz="0" w:space="0" w:color="auto"/>
                <w:right w:val="none" w:sz="0" w:space="0" w:color="auto"/>
              </w:divBdr>
            </w:div>
            <w:div w:id="1821843503">
              <w:marLeft w:val="0"/>
              <w:marRight w:val="0"/>
              <w:marTop w:val="0"/>
              <w:marBottom w:val="0"/>
              <w:divBdr>
                <w:top w:val="none" w:sz="0" w:space="0" w:color="auto"/>
                <w:left w:val="none" w:sz="0" w:space="0" w:color="auto"/>
                <w:bottom w:val="none" w:sz="0" w:space="0" w:color="auto"/>
                <w:right w:val="none" w:sz="0" w:space="0" w:color="auto"/>
              </w:divBdr>
            </w:div>
          </w:divsChild>
        </w:div>
        <w:div w:id="252474594">
          <w:marLeft w:val="0"/>
          <w:marRight w:val="0"/>
          <w:marTop w:val="0"/>
          <w:marBottom w:val="0"/>
          <w:divBdr>
            <w:top w:val="none" w:sz="0" w:space="0" w:color="auto"/>
            <w:left w:val="none" w:sz="0" w:space="0" w:color="auto"/>
            <w:bottom w:val="none" w:sz="0" w:space="0" w:color="auto"/>
            <w:right w:val="none" w:sz="0" w:space="0" w:color="auto"/>
          </w:divBdr>
        </w:div>
        <w:div w:id="266543589">
          <w:marLeft w:val="0"/>
          <w:marRight w:val="0"/>
          <w:marTop w:val="0"/>
          <w:marBottom w:val="0"/>
          <w:divBdr>
            <w:top w:val="none" w:sz="0" w:space="0" w:color="auto"/>
            <w:left w:val="none" w:sz="0" w:space="0" w:color="auto"/>
            <w:bottom w:val="none" w:sz="0" w:space="0" w:color="auto"/>
            <w:right w:val="none" w:sz="0" w:space="0" w:color="auto"/>
          </w:divBdr>
        </w:div>
        <w:div w:id="274606376">
          <w:marLeft w:val="0"/>
          <w:marRight w:val="0"/>
          <w:marTop w:val="0"/>
          <w:marBottom w:val="0"/>
          <w:divBdr>
            <w:top w:val="none" w:sz="0" w:space="0" w:color="auto"/>
            <w:left w:val="none" w:sz="0" w:space="0" w:color="auto"/>
            <w:bottom w:val="none" w:sz="0" w:space="0" w:color="auto"/>
            <w:right w:val="none" w:sz="0" w:space="0" w:color="auto"/>
          </w:divBdr>
        </w:div>
        <w:div w:id="278997642">
          <w:marLeft w:val="0"/>
          <w:marRight w:val="0"/>
          <w:marTop w:val="0"/>
          <w:marBottom w:val="0"/>
          <w:divBdr>
            <w:top w:val="none" w:sz="0" w:space="0" w:color="auto"/>
            <w:left w:val="none" w:sz="0" w:space="0" w:color="auto"/>
            <w:bottom w:val="none" w:sz="0" w:space="0" w:color="auto"/>
            <w:right w:val="none" w:sz="0" w:space="0" w:color="auto"/>
          </w:divBdr>
        </w:div>
        <w:div w:id="380789644">
          <w:marLeft w:val="0"/>
          <w:marRight w:val="0"/>
          <w:marTop w:val="0"/>
          <w:marBottom w:val="0"/>
          <w:divBdr>
            <w:top w:val="none" w:sz="0" w:space="0" w:color="auto"/>
            <w:left w:val="none" w:sz="0" w:space="0" w:color="auto"/>
            <w:bottom w:val="none" w:sz="0" w:space="0" w:color="auto"/>
            <w:right w:val="none" w:sz="0" w:space="0" w:color="auto"/>
          </w:divBdr>
        </w:div>
        <w:div w:id="404651046">
          <w:marLeft w:val="0"/>
          <w:marRight w:val="0"/>
          <w:marTop w:val="0"/>
          <w:marBottom w:val="0"/>
          <w:divBdr>
            <w:top w:val="none" w:sz="0" w:space="0" w:color="auto"/>
            <w:left w:val="none" w:sz="0" w:space="0" w:color="auto"/>
            <w:bottom w:val="none" w:sz="0" w:space="0" w:color="auto"/>
            <w:right w:val="none" w:sz="0" w:space="0" w:color="auto"/>
          </w:divBdr>
        </w:div>
        <w:div w:id="411658533">
          <w:marLeft w:val="0"/>
          <w:marRight w:val="0"/>
          <w:marTop w:val="0"/>
          <w:marBottom w:val="0"/>
          <w:divBdr>
            <w:top w:val="none" w:sz="0" w:space="0" w:color="auto"/>
            <w:left w:val="none" w:sz="0" w:space="0" w:color="auto"/>
            <w:bottom w:val="none" w:sz="0" w:space="0" w:color="auto"/>
            <w:right w:val="none" w:sz="0" w:space="0" w:color="auto"/>
          </w:divBdr>
        </w:div>
        <w:div w:id="445931002">
          <w:marLeft w:val="0"/>
          <w:marRight w:val="0"/>
          <w:marTop w:val="0"/>
          <w:marBottom w:val="0"/>
          <w:divBdr>
            <w:top w:val="none" w:sz="0" w:space="0" w:color="auto"/>
            <w:left w:val="none" w:sz="0" w:space="0" w:color="auto"/>
            <w:bottom w:val="none" w:sz="0" w:space="0" w:color="auto"/>
            <w:right w:val="none" w:sz="0" w:space="0" w:color="auto"/>
          </w:divBdr>
        </w:div>
        <w:div w:id="455564437">
          <w:marLeft w:val="0"/>
          <w:marRight w:val="0"/>
          <w:marTop w:val="0"/>
          <w:marBottom w:val="0"/>
          <w:divBdr>
            <w:top w:val="none" w:sz="0" w:space="0" w:color="auto"/>
            <w:left w:val="none" w:sz="0" w:space="0" w:color="auto"/>
            <w:bottom w:val="none" w:sz="0" w:space="0" w:color="auto"/>
            <w:right w:val="none" w:sz="0" w:space="0" w:color="auto"/>
          </w:divBdr>
        </w:div>
        <w:div w:id="521557197">
          <w:marLeft w:val="0"/>
          <w:marRight w:val="0"/>
          <w:marTop w:val="0"/>
          <w:marBottom w:val="0"/>
          <w:divBdr>
            <w:top w:val="none" w:sz="0" w:space="0" w:color="auto"/>
            <w:left w:val="none" w:sz="0" w:space="0" w:color="auto"/>
            <w:bottom w:val="none" w:sz="0" w:space="0" w:color="auto"/>
            <w:right w:val="none" w:sz="0" w:space="0" w:color="auto"/>
          </w:divBdr>
        </w:div>
        <w:div w:id="555437179">
          <w:marLeft w:val="0"/>
          <w:marRight w:val="0"/>
          <w:marTop w:val="0"/>
          <w:marBottom w:val="0"/>
          <w:divBdr>
            <w:top w:val="none" w:sz="0" w:space="0" w:color="auto"/>
            <w:left w:val="none" w:sz="0" w:space="0" w:color="auto"/>
            <w:bottom w:val="none" w:sz="0" w:space="0" w:color="auto"/>
            <w:right w:val="none" w:sz="0" w:space="0" w:color="auto"/>
          </w:divBdr>
        </w:div>
        <w:div w:id="568004291">
          <w:marLeft w:val="0"/>
          <w:marRight w:val="0"/>
          <w:marTop w:val="0"/>
          <w:marBottom w:val="0"/>
          <w:divBdr>
            <w:top w:val="none" w:sz="0" w:space="0" w:color="auto"/>
            <w:left w:val="none" w:sz="0" w:space="0" w:color="auto"/>
            <w:bottom w:val="none" w:sz="0" w:space="0" w:color="auto"/>
            <w:right w:val="none" w:sz="0" w:space="0" w:color="auto"/>
          </w:divBdr>
          <w:divsChild>
            <w:div w:id="1090665040">
              <w:marLeft w:val="0"/>
              <w:marRight w:val="0"/>
              <w:marTop w:val="0"/>
              <w:marBottom w:val="0"/>
              <w:divBdr>
                <w:top w:val="none" w:sz="0" w:space="0" w:color="auto"/>
                <w:left w:val="none" w:sz="0" w:space="0" w:color="auto"/>
                <w:bottom w:val="none" w:sz="0" w:space="0" w:color="auto"/>
                <w:right w:val="none" w:sz="0" w:space="0" w:color="auto"/>
              </w:divBdr>
            </w:div>
            <w:div w:id="1474249084">
              <w:marLeft w:val="0"/>
              <w:marRight w:val="0"/>
              <w:marTop w:val="0"/>
              <w:marBottom w:val="0"/>
              <w:divBdr>
                <w:top w:val="none" w:sz="0" w:space="0" w:color="auto"/>
                <w:left w:val="none" w:sz="0" w:space="0" w:color="auto"/>
                <w:bottom w:val="none" w:sz="0" w:space="0" w:color="auto"/>
                <w:right w:val="none" w:sz="0" w:space="0" w:color="auto"/>
              </w:divBdr>
            </w:div>
          </w:divsChild>
        </w:div>
        <w:div w:id="670527223">
          <w:marLeft w:val="0"/>
          <w:marRight w:val="0"/>
          <w:marTop w:val="0"/>
          <w:marBottom w:val="0"/>
          <w:divBdr>
            <w:top w:val="none" w:sz="0" w:space="0" w:color="auto"/>
            <w:left w:val="none" w:sz="0" w:space="0" w:color="auto"/>
            <w:bottom w:val="none" w:sz="0" w:space="0" w:color="auto"/>
            <w:right w:val="none" w:sz="0" w:space="0" w:color="auto"/>
          </w:divBdr>
        </w:div>
        <w:div w:id="684746961">
          <w:marLeft w:val="0"/>
          <w:marRight w:val="0"/>
          <w:marTop w:val="0"/>
          <w:marBottom w:val="0"/>
          <w:divBdr>
            <w:top w:val="none" w:sz="0" w:space="0" w:color="auto"/>
            <w:left w:val="none" w:sz="0" w:space="0" w:color="auto"/>
            <w:bottom w:val="none" w:sz="0" w:space="0" w:color="auto"/>
            <w:right w:val="none" w:sz="0" w:space="0" w:color="auto"/>
          </w:divBdr>
        </w:div>
        <w:div w:id="700321850">
          <w:marLeft w:val="0"/>
          <w:marRight w:val="0"/>
          <w:marTop w:val="0"/>
          <w:marBottom w:val="0"/>
          <w:divBdr>
            <w:top w:val="none" w:sz="0" w:space="0" w:color="auto"/>
            <w:left w:val="none" w:sz="0" w:space="0" w:color="auto"/>
            <w:bottom w:val="none" w:sz="0" w:space="0" w:color="auto"/>
            <w:right w:val="none" w:sz="0" w:space="0" w:color="auto"/>
          </w:divBdr>
        </w:div>
        <w:div w:id="801536704">
          <w:marLeft w:val="0"/>
          <w:marRight w:val="0"/>
          <w:marTop w:val="0"/>
          <w:marBottom w:val="0"/>
          <w:divBdr>
            <w:top w:val="none" w:sz="0" w:space="0" w:color="auto"/>
            <w:left w:val="none" w:sz="0" w:space="0" w:color="auto"/>
            <w:bottom w:val="none" w:sz="0" w:space="0" w:color="auto"/>
            <w:right w:val="none" w:sz="0" w:space="0" w:color="auto"/>
          </w:divBdr>
        </w:div>
        <w:div w:id="851455781">
          <w:marLeft w:val="0"/>
          <w:marRight w:val="0"/>
          <w:marTop w:val="0"/>
          <w:marBottom w:val="0"/>
          <w:divBdr>
            <w:top w:val="none" w:sz="0" w:space="0" w:color="auto"/>
            <w:left w:val="none" w:sz="0" w:space="0" w:color="auto"/>
            <w:bottom w:val="none" w:sz="0" w:space="0" w:color="auto"/>
            <w:right w:val="none" w:sz="0" w:space="0" w:color="auto"/>
          </w:divBdr>
        </w:div>
        <w:div w:id="861939015">
          <w:marLeft w:val="0"/>
          <w:marRight w:val="0"/>
          <w:marTop w:val="0"/>
          <w:marBottom w:val="0"/>
          <w:divBdr>
            <w:top w:val="none" w:sz="0" w:space="0" w:color="auto"/>
            <w:left w:val="none" w:sz="0" w:space="0" w:color="auto"/>
            <w:bottom w:val="none" w:sz="0" w:space="0" w:color="auto"/>
            <w:right w:val="none" w:sz="0" w:space="0" w:color="auto"/>
          </w:divBdr>
        </w:div>
        <w:div w:id="944384389">
          <w:marLeft w:val="0"/>
          <w:marRight w:val="0"/>
          <w:marTop w:val="0"/>
          <w:marBottom w:val="0"/>
          <w:divBdr>
            <w:top w:val="none" w:sz="0" w:space="0" w:color="auto"/>
            <w:left w:val="none" w:sz="0" w:space="0" w:color="auto"/>
            <w:bottom w:val="none" w:sz="0" w:space="0" w:color="auto"/>
            <w:right w:val="none" w:sz="0" w:space="0" w:color="auto"/>
          </w:divBdr>
        </w:div>
        <w:div w:id="983584890">
          <w:marLeft w:val="0"/>
          <w:marRight w:val="0"/>
          <w:marTop w:val="0"/>
          <w:marBottom w:val="0"/>
          <w:divBdr>
            <w:top w:val="none" w:sz="0" w:space="0" w:color="auto"/>
            <w:left w:val="none" w:sz="0" w:space="0" w:color="auto"/>
            <w:bottom w:val="none" w:sz="0" w:space="0" w:color="auto"/>
            <w:right w:val="none" w:sz="0" w:space="0" w:color="auto"/>
          </w:divBdr>
        </w:div>
        <w:div w:id="995837782">
          <w:marLeft w:val="0"/>
          <w:marRight w:val="0"/>
          <w:marTop w:val="0"/>
          <w:marBottom w:val="0"/>
          <w:divBdr>
            <w:top w:val="none" w:sz="0" w:space="0" w:color="auto"/>
            <w:left w:val="none" w:sz="0" w:space="0" w:color="auto"/>
            <w:bottom w:val="none" w:sz="0" w:space="0" w:color="auto"/>
            <w:right w:val="none" w:sz="0" w:space="0" w:color="auto"/>
          </w:divBdr>
        </w:div>
        <w:div w:id="1137142011">
          <w:marLeft w:val="0"/>
          <w:marRight w:val="0"/>
          <w:marTop w:val="0"/>
          <w:marBottom w:val="0"/>
          <w:divBdr>
            <w:top w:val="none" w:sz="0" w:space="0" w:color="auto"/>
            <w:left w:val="none" w:sz="0" w:space="0" w:color="auto"/>
            <w:bottom w:val="none" w:sz="0" w:space="0" w:color="auto"/>
            <w:right w:val="none" w:sz="0" w:space="0" w:color="auto"/>
          </w:divBdr>
        </w:div>
        <w:div w:id="1149709298">
          <w:marLeft w:val="0"/>
          <w:marRight w:val="0"/>
          <w:marTop w:val="0"/>
          <w:marBottom w:val="0"/>
          <w:divBdr>
            <w:top w:val="none" w:sz="0" w:space="0" w:color="auto"/>
            <w:left w:val="none" w:sz="0" w:space="0" w:color="auto"/>
            <w:bottom w:val="none" w:sz="0" w:space="0" w:color="auto"/>
            <w:right w:val="none" w:sz="0" w:space="0" w:color="auto"/>
          </w:divBdr>
        </w:div>
        <w:div w:id="1246036133">
          <w:marLeft w:val="0"/>
          <w:marRight w:val="0"/>
          <w:marTop w:val="0"/>
          <w:marBottom w:val="0"/>
          <w:divBdr>
            <w:top w:val="none" w:sz="0" w:space="0" w:color="auto"/>
            <w:left w:val="none" w:sz="0" w:space="0" w:color="auto"/>
            <w:bottom w:val="none" w:sz="0" w:space="0" w:color="auto"/>
            <w:right w:val="none" w:sz="0" w:space="0" w:color="auto"/>
          </w:divBdr>
        </w:div>
        <w:div w:id="1269124909">
          <w:marLeft w:val="0"/>
          <w:marRight w:val="0"/>
          <w:marTop w:val="0"/>
          <w:marBottom w:val="0"/>
          <w:divBdr>
            <w:top w:val="none" w:sz="0" w:space="0" w:color="auto"/>
            <w:left w:val="none" w:sz="0" w:space="0" w:color="auto"/>
            <w:bottom w:val="none" w:sz="0" w:space="0" w:color="auto"/>
            <w:right w:val="none" w:sz="0" w:space="0" w:color="auto"/>
          </w:divBdr>
        </w:div>
        <w:div w:id="1272397420">
          <w:marLeft w:val="0"/>
          <w:marRight w:val="0"/>
          <w:marTop w:val="0"/>
          <w:marBottom w:val="0"/>
          <w:divBdr>
            <w:top w:val="none" w:sz="0" w:space="0" w:color="auto"/>
            <w:left w:val="none" w:sz="0" w:space="0" w:color="auto"/>
            <w:bottom w:val="none" w:sz="0" w:space="0" w:color="auto"/>
            <w:right w:val="none" w:sz="0" w:space="0" w:color="auto"/>
          </w:divBdr>
        </w:div>
        <w:div w:id="1277370688">
          <w:marLeft w:val="0"/>
          <w:marRight w:val="0"/>
          <w:marTop w:val="0"/>
          <w:marBottom w:val="0"/>
          <w:divBdr>
            <w:top w:val="none" w:sz="0" w:space="0" w:color="auto"/>
            <w:left w:val="none" w:sz="0" w:space="0" w:color="auto"/>
            <w:bottom w:val="none" w:sz="0" w:space="0" w:color="auto"/>
            <w:right w:val="none" w:sz="0" w:space="0" w:color="auto"/>
          </w:divBdr>
          <w:divsChild>
            <w:div w:id="626401073">
              <w:marLeft w:val="0"/>
              <w:marRight w:val="0"/>
              <w:marTop w:val="0"/>
              <w:marBottom w:val="0"/>
              <w:divBdr>
                <w:top w:val="none" w:sz="0" w:space="0" w:color="auto"/>
                <w:left w:val="none" w:sz="0" w:space="0" w:color="auto"/>
                <w:bottom w:val="none" w:sz="0" w:space="0" w:color="auto"/>
                <w:right w:val="none" w:sz="0" w:space="0" w:color="auto"/>
              </w:divBdr>
            </w:div>
            <w:div w:id="879393385">
              <w:marLeft w:val="0"/>
              <w:marRight w:val="0"/>
              <w:marTop w:val="0"/>
              <w:marBottom w:val="0"/>
              <w:divBdr>
                <w:top w:val="none" w:sz="0" w:space="0" w:color="auto"/>
                <w:left w:val="none" w:sz="0" w:space="0" w:color="auto"/>
                <w:bottom w:val="none" w:sz="0" w:space="0" w:color="auto"/>
                <w:right w:val="none" w:sz="0" w:space="0" w:color="auto"/>
              </w:divBdr>
            </w:div>
            <w:div w:id="920798460">
              <w:marLeft w:val="0"/>
              <w:marRight w:val="0"/>
              <w:marTop w:val="0"/>
              <w:marBottom w:val="0"/>
              <w:divBdr>
                <w:top w:val="none" w:sz="0" w:space="0" w:color="auto"/>
                <w:left w:val="none" w:sz="0" w:space="0" w:color="auto"/>
                <w:bottom w:val="none" w:sz="0" w:space="0" w:color="auto"/>
                <w:right w:val="none" w:sz="0" w:space="0" w:color="auto"/>
              </w:divBdr>
            </w:div>
          </w:divsChild>
        </w:div>
        <w:div w:id="1283725503">
          <w:marLeft w:val="0"/>
          <w:marRight w:val="0"/>
          <w:marTop w:val="0"/>
          <w:marBottom w:val="0"/>
          <w:divBdr>
            <w:top w:val="none" w:sz="0" w:space="0" w:color="auto"/>
            <w:left w:val="none" w:sz="0" w:space="0" w:color="auto"/>
            <w:bottom w:val="none" w:sz="0" w:space="0" w:color="auto"/>
            <w:right w:val="none" w:sz="0" w:space="0" w:color="auto"/>
          </w:divBdr>
        </w:div>
        <w:div w:id="1294826132">
          <w:marLeft w:val="0"/>
          <w:marRight w:val="0"/>
          <w:marTop w:val="0"/>
          <w:marBottom w:val="0"/>
          <w:divBdr>
            <w:top w:val="none" w:sz="0" w:space="0" w:color="auto"/>
            <w:left w:val="none" w:sz="0" w:space="0" w:color="auto"/>
            <w:bottom w:val="none" w:sz="0" w:space="0" w:color="auto"/>
            <w:right w:val="none" w:sz="0" w:space="0" w:color="auto"/>
          </w:divBdr>
        </w:div>
        <w:div w:id="1297486031">
          <w:marLeft w:val="0"/>
          <w:marRight w:val="0"/>
          <w:marTop w:val="0"/>
          <w:marBottom w:val="0"/>
          <w:divBdr>
            <w:top w:val="none" w:sz="0" w:space="0" w:color="auto"/>
            <w:left w:val="none" w:sz="0" w:space="0" w:color="auto"/>
            <w:bottom w:val="none" w:sz="0" w:space="0" w:color="auto"/>
            <w:right w:val="none" w:sz="0" w:space="0" w:color="auto"/>
          </w:divBdr>
        </w:div>
        <w:div w:id="1308633585">
          <w:marLeft w:val="0"/>
          <w:marRight w:val="0"/>
          <w:marTop w:val="0"/>
          <w:marBottom w:val="0"/>
          <w:divBdr>
            <w:top w:val="none" w:sz="0" w:space="0" w:color="auto"/>
            <w:left w:val="none" w:sz="0" w:space="0" w:color="auto"/>
            <w:bottom w:val="none" w:sz="0" w:space="0" w:color="auto"/>
            <w:right w:val="none" w:sz="0" w:space="0" w:color="auto"/>
          </w:divBdr>
        </w:div>
        <w:div w:id="1334334925">
          <w:marLeft w:val="0"/>
          <w:marRight w:val="0"/>
          <w:marTop w:val="0"/>
          <w:marBottom w:val="0"/>
          <w:divBdr>
            <w:top w:val="none" w:sz="0" w:space="0" w:color="auto"/>
            <w:left w:val="none" w:sz="0" w:space="0" w:color="auto"/>
            <w:bottom w:val="none" w:sz="0" w:space="0" w:color="auto"/>
            <w:right w:val="none" w:sz="0" w:space="0" w:color="auto"/>
          </w:divBdr>
        </w:div>
        <w:div w:id="1349063730">
          <w:marLeft w:val="0"/>
          <w:marRight w:val="0"/>
          <w:marTop w:val="0"/>
          <w:marBottom w:val="0"/>
          <w:divBdr>
            <w:top w:val="none" w:sz="0" w:space="0" w:color="auto"/>
            <w:left w:val="none" w:sz="0" w:space="0" w:color="auto"/>
            <w:bottom w:val="none" w:sz="0" w:space="0" w:color="auto"/>
            <w:right w:val="none" w:sz="0" w:space="0" w:color="auto"/>
          </w:divBdr>
        </w:div>
        <w:div w:id="1446849496">
          <w:marLeft w:val="0"/>
          <w:marRight w:val="0"/>
          <w:marTop w:val="0"/>
          <w:marBottom w:val="0"/>
          <w:divBdr>
            <w:top w:val="none" w:sz="0" w:space="0" w:color="auto"/>
            <w:left w:val="none" w:sz="0" w:space="0" w:color="auto"/>
            <w:bottom w:val="none" w:sz="0" w:space="0" w:color="auto"/>
            <w:right w:val="none" w:sz="0" w:space="0" w:color="auto"/>
          </w:divBdr>
        </w:div>
        <w:div w:id="1488667085">
          <w:marLeft w:val="0"/>
          <w:marRight w:val="0"/>
          <w:marTop w:val="0"/>
          <w:marBottom w:val="0"/>
          <w:divBdr>
            <w:top w:val="none" w:sz="0" w:space="0" w:color="auto"/>
            <w:left w:val="none" w:sz="0" w:space="0" w:color="auto"/>
            <w:bottom w:val="none" w:sz="0" w:space="0" w:color="auto"/>
            <w:right w:val="none" w:sz="0" w:space="0" w:color="auto"/>
          </w:divBdr>
          <w:divsChild>
            <w:div w:id="554587775">
              <w:marLeft w:val="0"/>
              <w:marRight w:val="0"/>
              <w:marTop w:val="0"/>
              <w:marBottom w:val="0"/>
              <w:divBdr>
                <w:top w:val="none" w:sz="0" w:space="0" w:color="auto"/>
                <w:left w:val="none" w:sz="0" w:space="0" w:color="auto"/>
                <w:bottom w:val="none" w:sz="0" w:space="0" w:color="auto"/>
                <w:right w:val="none" w:sz="0" w:space="0" w:color="auto"/>
              </w:divBdr>
            </w:div>
            <w:div w:id="1099637998">
              <w:marLeft w:val="0"/>
              <w:marRight w:val="0"/>
              <w:marTop w:val="0"/>
              <w:marBottom w:val="0"/>
              <w:divBdr>
                <w:top w:val="none" w:sz="0" w:space="0" w:color="auto"/>
                <w:left w:val="none" w:sz="0" w:space="0" w:color="auto"/>
                <w:bottom w:val="none" w:sz="0" w:space="0" w:color="auto"/>
                <w:right w:val="none" w:sz="0" w:space="0" w:color="auto"/>
              </w:divBdr>
            </w:div>
            <w:div w:id="1199395284">
              <w:marLeft w:val="0"/>
              <w:marRight w:val="0"/>
              <w:marTop w:val="0"/>
              <w:marBottom w:val="0"/>
              <w:divBdr>
                <w:top w:val="none" w:sz="0" w:space="0" w:color="auto"/>
                <w:left w:val="none" w:sz="0" w:space="0" w:color="auto"/>
                <w:bottom w:val="none" w:sz="0" w:space="0" w:color="auto"/>
                <w:right w:val="none" w:sz="0" w:space="0" w:color="auto"/>
              </w:divBdr>
            </w:div>
          </w:divsChild>
        </w:div>
        <w:div w:id="1593273925">
          <w:marLeft w:val="0"/>
          <w:marRight w:val="0"/>
          <w:marTop w:val="0"/>
          <w:marBottom w:val="0"/>
          <w:divBdr>
            <w:top w:val="none" w:sz="0" w:space="0" w:color="auto"/>
            <w:left w:val="none" w:sz="0" w:space="0" w:color="auto"/>
            <w:bottom w:val="none" w:sz="0" w:space="0" w:color="auto"/>
            <w:right w:val="none" w:sz="0" w:space="0" w:color="auto"/>
          </w:divBdr>
        </w:div>
        <w:div w:id="1663270799">
          <w:marLeft w:val="0"/>
          <w:marRight w:val="0"/>
          <w:marTop w:val="0"/>
          <w:marBottom w:val="0"/>
          <w:divBdr>
            <w:top w:val="none" w:sz="0" w:space="0" w:color="auto"/>
            <w:left w:val="none" w:sz="0" w:space="0" w:color="auto"/>
            <w:bottom w:val="none" w:sz="0" w:space="0" w:color="auto"/>
            <w:right w:val="none" w:sz="0" w:space="0" w:color="auto"/>
          </w:divBdr>
        </w:div>
        <w:div w:id="1687512857">
          <w:marLeft w:val="0"/>
          <w:marRight w:val="0"/>
          <w:marTop w:val="0"/>
          <w:marBottom w:val="0"/>
          <w:divBdr>
            <w:top w:val="none" w:sz="0" w:space="0" w:color="auto"/>
            <w:left w:val="none" w:sz="0" w:space="0" w:color="auto"/>
            <w:bottom w:val="none" w:sz="0" w:space="0" w:color="auto"/>
            <w:right w:val="none" w:sz="0" w:space="0" w:color="auto"/>
          </w:divBdr>
        </w:div>
        <w:div w:id="1700162733">
          <w:marLeft w:val="0"/>
          <w:marRight w:val="0"/>
          <w:marTop w:val="0"/>
          <w:marBottom w:val="0"/>
          <w:divBdr>
            <w:top w:val="none" w:sz="0" w:space="0" w:color="auto"/>
            <w:left w:val="none" w:sz="0" w:space="0" w:color="auto"/>
            <w:bottom w:val="none" w:sz="0" w:space="0" w:color="auto"/>
            <w:right w:val="none" w:sz="0" w:space="0" w:color="auto"/>
          </w:divBdr>
        </w:div>
        <w:div w:id="1727795196">
          <w:marLeft w:val="0"/>
          <w:marRight w:val="0"/>
          <w:marTop w:val="0"/>
          <w:marBottom w:val="0"/>
          <w:divBdr>
            <w:top w:val="none" w:sz="0" w:space="0" w:color="auto"/>
            <w:left w:val="none" w:sz="0" w:space="0" w:color="auto"/>
            <w:bottom w:val="none" w:sz="0" w:space="0" w:color="auto"/>
            <w:right w:val="none" w:sz="0" w:space="0" w:color="auto"/>
          </w:divBdr>
        </w:div>
        <w:div w:id="1758745463">
          <w:marLeft w:val="0"/>
          <w:marRight w:val="0"/>
          <w:marTop w:val="0"/>
          <w:marBottom w:val="0"/>
          <w:divBdr>
            <w:top w:val="none" w:sz="0" w:space="0" w:color="auto"/>
            <w:left w:val="none" w:sz="0" w:space="0" w:color="auto"/>
            <w:bottom w:val="none" w:sz="0" w:space="0" w:color="auto"/>
            <w:right w:val="none" w:sz="0" w:space="0" w:color="auto"/>
          </w:divBdr>
        </w:div>
        <w:div w:id="1778057961">
          <w:marLeft w:val="0"/>
          <w:marRight w:val="0"/>
          <w:marTop w:val="0"/>
          <w:marBottom w:val="0"/>
          <w:divBdr>
            <w:top w:val="none" w:sz="0" w:space="0" w:color="auto"/>
            <w:left w:val="none" w:sz="0" w:space="0" w:color="auto"/>
            <w:bottom w:val="none" w:sz="0" w:space="0" w:color="auto"/>
            <w:right w:val="none" w:sz="0" w:space="0" w:color="auto"/>
          </w:divBdr>
        </w:div>
        <w:div w:id="1905604929">
          <w:marLeft w:val="0"/>
          <w:marRight w:val="0"/>
          <w:marTop w:val="0"/>
          <w:marBottom w:val="0"/>
          <w:divBdr>
            <w:top w:val="none" w:sz="0" w:space="0" w:color="auto"/>
            <w:left w:val="none" w:sz="0" w:space="0" w:color="auto"/>
            <w:bottom w:val="none" w:sz="0" w:space="0" w:color="auto"/>
            <w:right w:val="none" w:sz="0" w:space="0" w:color="auto"/>
          </w:divBdr>
        </w:div>
        <w:div w:id="1914705322">
          <w:marLeft w:val="0"/>
          <w:marRight w:val="0"/>
          <w:marTop w:val="0"/>
          <w:marBottom w:val="0"/>
          <w:divBdr>
            <w:top w:val="none" w:sz="0" w:space="0" w:color="auto"/>
            <w:left w:val="none" w:sz="0" w:space="0" w:color="auto"/>
            <w:bottom w:val="none" w:sz="0" w:space="0" w:color="auto"/>
            <w:right w:val="none" w:sz="0" w:space="0" w:color="auto"/>
          </w:divBdr>
        </w:div>
        <w:div w:id="1969816262">
          <w:marLeft w:val="0"/>
          <w:marRight w:val="0"/>
          <w:marTop w:val="0"/>
          <w:marBottom w:val="0"/>
          <w:divBdr>
            <w:top w:val="none" w:sz="0" w:space="0" w:color="auto"/>
            <w:left w:val="none" w:sz="0" w:space="0" w:color="auto"/>
            <w:bottom w:val="none" w:sz="0" w:space="0" w:color="auto"/>
            <w:right w:val="none" w:sz="0" w:space="0" w:color="auto"/>
          </w:divBdr>
        </w:div>
        <w:div w:id="2008899750">
          <w:marLeft w:val="0"/>
          <w:marRight w:val="0"/>
          <w:marTop w:val="0"/>
          <w:marBottom w:val="0"/>
          <w:divBdr>
            <w:top w:val="none" w:sz="0" w:space="0" w:color="auto"/>
            <w:left w:val="none" w:sz="0" w:space="0" w:color="auto"/>
            <w:bottom w:val="none" w:sz="0" w:space="0" w:color="auto"/>
            <w:right w:val="none" w:sz="0" w:space="0" w:color="auto"/>
          </w:divBdr>
        </w:div>
        <w:div w:id="2025553028">
          <w:marLeft w:val="0"/>
          <w:marRight w:val="0"/>
          <w:marTop w:val="0"/>
          <w:marBottom w:val="0"/>
          <w:divBdr>
            <w:top w:val="none" w:sz="0" w:space="0" w:color="auto"/>
            <w:left w:val="none" w:sz="0" w:space="0" w:color="auto"/>
            <w:bottom w:val="none" w:sz="0" w:space="0" w:color="auto"/>
            <w:right w:val="none" w:sz="0" w:space="0" w:color="auto"/>
          </w:divBdr>
        </w:div>
        <w:div w:id="2034072859">
          <w:marLeft w:val="0"/>
          <w:marRight w:val="0"/>
          <w:marTop w:val="0"/>
          <w:marBottom w:val="0"/>
          <w:divBdr>
            <w:top w:val="none" w:sz="0" w:space="0" w:color="auto"/>
            <w:left w:val="none" w:sz="0" w:space="0" w:color="auto"/>
            <w:bottom w:val="none" w:sz="0" w:space="0" w:color="auto"/>
            <w:right w:val="none" w:sz="0" w:space="0" w:color="auto"/>
          </w:divBdr>
        </w:div>
      </w:divsChild>
    </w:div>
    <w:div w:id="901603921">
      <w:bodyDiv w:val="1"/>
      <w:marLeft w:val="0"/>
      <w:marRight w:val="0"/>
      <w:marTop w:val="0"/>
      <w:marBottom w:val="0"/>
      <w:divBdr>
        <w:top w:val="none" w:sz="0" w:space="0" w:color="auto"/>
        <w:left w:val="none" w:sz="0" w:space="0" w:color="auto"/>
        <w:bottom w:val="none" w:sz="0" w:space="0" w:color="auto"/>
        <w:right w:val="none" w:sz="0" w:space="0" w:color="auto"/>
      </w:divBdr>
    </w:div>
    <w:div w:id="1330669780">
      <w:bodyDiv w:val="1"/>
      <w:marLeft w:val="0"/>
      <w:marRight w:val="0"/>
      <w:marTop w:val="0"/>
      <w:marBottom w:val="0"/>
      <w:divBdr>
        <w:top w:val="none" w:sz="0" w:space="0" w:color="auto"/>
        <w:left w:val="none" w:sz="0" w:space="0" w:color="auto"/>
        <w:bottom w:val="none" w:sz="0" w:space="0" w:color="auto"/>
        <w:right w:val="none" w:sz="0" w:space="0" w:color="auto"/>
      </w:divBdr>
    </w:div>
    <w:div w:id="1417435325">
      <w:bodyDiv w:val="1"/>
      <w:marLeft w:val="0"/>
      <w:marRight w:val="0"/>
      <w:marTop w:val="0"/>
      <w:marBottom w:val="0"/>
      <w:divBdr>
        <w:top w:val="none" w:sz="0" w:space="0" w:color="auto"/>
        <w:left w:val="none" w:sz="0" w:space="0" w:color="auto"/>
        <w:bottom w:val="none" w:sz="0" w:space="0" w:color="auto"/>
        <w:right w:val="none" w:sz="0" w:space="0" w:color="auto"/>
      </w:divBdr>
    </w:div>
    <w:div w:id="1528563461">
      <w:bodyDiv w:val="1"/>
      <w:marLeft w:val="0"/>
      <w:marRight w:val="0"/>
      <w:marTop w:val="0"/>
      <w:marBottom w:val="0"/>
      <w:divBdr>
        <w:top w:val="none" w:sz="0" w:space="0" w:color="auto"/>
        <w:left w:val="none" w:sz="0" w:space="0" w:color="auto"/>
        <w:bottom w:val="none" w:sz="0" w:space="0" w:color="auto"/>
        <w:right w:val="none" w:sz="0" w:space="0" w:color="auto"/>
      </w:divBdr>
      <w:divsChild>
        <w:div w:id="1132211030">
          <w:marLeft w:val="0"/>
          <w:marRight w:val="0"/>
          <w:marTop w:val="0"/>
          <w:marBottom w:val="0"/>
          <w:divBdr>
            <w:top w:val="none" w:sz="0" w:space="0" w:color="auto"/>
            <w:left w:val="none" w:sz="0" w:space="0" w:color="auto"/>
            <w:bottom w:val="none" w:sz="0" w:space="0" w:color="auto"/>
            <w:right w:val="none" w:sz="0" w:space="0" w:color="auto"/>
          </w:divBdr>
        </w:div>
        <w:div w:id="288047692">
          <w:marLeft w:val="0"/>
          <w:marRight w:val="0"/>
          <w:marTop w:val="0"/>
          <w:marBottom w:val="0"/>
          <w:divBdr>
            <w:top w:val="none" w:sz="0" w:space="0" w:color="auto"/>
            <w:left w:val="none" w:sz="0" w:space="0" w:color="auto"/>
            <w:bottom w:val="none" w:sz="0" w:space="0" w:color="auto"/>
            <w:right w:val="none" w:sz="0" w:space="0" w:color="auto"/>
          </w:divBdr>
        </w:div>
        <w:div w:id="2001273371">
          <w:marLeft w:val="0"/>
          <w:marRight w:val="0"/>
          <w:marTop w:val="0"/>
          <w:marBottom w:val="0"/>
          <w:divBdr>
            <w:top w:val="none" w:sz="0" w:space="0" w:color="auto"/>
            <w:left w:val="none" w:sz="0" w:space="0" w:color="auto"/>
            <w:bottom w:val="none" w:sz="0" w:space="0" w:color="auto"/>
            <w:right w:val="none" w:sz="0" w:space="0" w:color="auto"/>
          </w:divBdr>
        </w:div>
        <w:div w:id="1293366710">
          <w:marLeft w:val="0"/>
          <w:marRight w:val="0"/>
          <w:marTop w:val="0"/>
          <w:marBottom w:val="0"/>
          <w:divBdr>
            <w:top w:val="none" w:sz="0" w:space="0" w:color="auto"/>
            <w:left w:val="none" w:sz="0" w:space="0" w:color="auto"/>
            <w:bottom w:val="none" w:sz="0" w:space="0" w:color="auto"/>
            <w:right w:val="none" w:sz="0" w:space="0" w:color="auto"/>
          </w:divBdr>
        </w:div>
        <w:div w:id="732118585">
          <w:marLeft w:val="0"/>
          <w:marRight w:val="0"/>
          <w:marTop w:val="0"/>
          <w:marBottom w:val="0"/>
          <w:divBdr>
            <w:top w:val="none" w:sz="0" w:space="0" w:color="auto"/>
            <w:left w:val="none" w:sz="0" w:space="0" w:color="auto"/>
            <w:bottom w:val="none" w:sz="0" w:space="0" w:color="auto"/>
            <w:right w:val="none" w:sz="0" w:space="0" w:color="auto"/>
          </w:divBdr>
        </w:div>
        <w:div w:id="503977471">
          <w:marLeft w:val="0"/>
          <w:marRight w:val="0"/>
          <w:marTop w:val="0"/>
          <w:marBottom w:val="0"/>
          <w:divBdr>
            <w:top w:val="none" w:sz="0" w:space="0" w:color="auto"/>
            <w:left w:val="none" w:sz="0" w:space="0" w:color="auto"/>
            <w:bottom w:val="none" w:sz="0" w:space="0" w:color="auto"/>
            <w:right w:val="none" w:sz="0" w:space="0" w:color="auto"/>
          </w:divBdr>
        </w:div>
        <w:div w:id="1907719322">
          <w:marLeft w:val="0"/>
          <w:marRight w:val="0"/>
          <w:marTop w:val="0"/>
          <w:marBottom w:val="0"/>
          <w:divBdr>
            <w:top w:val="none" w:sz="0" w:space="0" w:color="auto"/>
            <w:left w:val="none" w:sz="0" w:space="0" w:color="auto"/>
            <w:bottom w:val="none" w:sz="0" w:space="0" w:color="auto"/>
            <w:right w:val="none" w:sz="0" w:space="0" w:color="auto"/>
          </w:divBdr>
        </w:div>
      </w:divsChild>
    </w:div>
    <w:div w:id="1642685759">
      <w:bodyDiv w:val="1"/>
      <w:marLeft w:val="0"/>
      <w:marRight w:val="0"/>
      <w:marTop w:val="0"/>
      <w:marBottom w:val="0"/>
      <w:divBdr>
        <w:top w:val="none" w:sz="0" w:space="0" w:color="auto"/>
        <w:left w:val="none" w:sz="0" w:space="0" w:color="auto"/>
        <w:bottom w:val="none" w:sz="0" w:space="0" w:color="auto"/>
        <w:right w:val="none" w:sz="0" w:space="0" w:color="auto"/>
      </w:divBdr>
    </w:div>
    <w:div w:id="1676418813">
      <w:bodyDiv w:val="1"/>
      <w:marLeft w:val="0"/>
      <w:marRight w:val="0"/>
      <w:marTop w:val="0"/>
      <w:marBottom w:val="0"/>
      <w:divBdr>
        <w:top w:val="none" w:sz="0" w:space="0" w:color="auto"/>
        <w:left w:val="none" w:sz="0" w:space="0" w:color="auto"/>
        <w:bottom w:val="none" w:sz="0" w:space="0" w:color="auto"/>
        <w:right w:val="none" w:sz="0" w:space="0" w:color="auto"/>
      </w:divBdr>
      <w:divsChild>
        <w:div w:id="7794983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gestionale.uniroma2.it/servizi/erasmus/"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EB607635E32884981E7CFEF9762D8A5" ma:contentTypeVersion="2" ma:contentTypeDescription="Creare un nuovo documento." ma:contentTypeScope="" ma:versionID="6f74afe7c80ff673294aae4b733c1b76">
  <xsd:schema xmlns:xsd="http://www.w3.org/2001/XMLSchema" xmlns:xs="http://www.w3.org/2001/XMLSchema" xmlns:p="http://schemas.microsoft.com/office/2006/metadata/properties" xmlns:ns2="5ed92815-08a0-4271-8905-4ce18a838051" targetNamespace="http://schemas.microsoft.com/office/2006/metadata/properties" ma:root="true" ma:fieldsID="1d201a64b0984644715fe876cb95d0c2" ns2:_="">
    <xsd:import namespace="5ed92815-08a0-4271-8905-4ce18a8380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92815-08a0-4271-8905-4ce18a83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903E3-57A3-4B51-BD54-29A628684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92815-08a0-4271-8905-4ce18a838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81F782-1A93-4E7F-B2E4-F9D527B3348A}">
  <ds:schemaRefs>
    <ds:schemaRef ds:uri="http://schemas.microsoft.com/sharepoint/v3/contenttype/forms"/>
  </ds:schemaRefs>
</ds:datastoreItem>
</file>

<file path=customXml/itemProps3.xml><?xml version="1.0" encoding="utf-8"?>
<ds:datastoreItem xmlns:ds="http://schemas.openxmlformats.org/officeDocument/2006/customXml" ds:itemID="{1F707C64-03C6-4899-BC56-C8839BA287FF}">
  <ds:schemaRefs>
    <ds:schemaRef ds:uri="http://schemas.openxmlformats.org/officeDocument/2006/bibliography"/>
  </ds:schemaRefs>
</ds:datastoreItem>
</file>

<file path=customXml/itemProps4.xml><?xml version="1.0" encoding="utf-8"?>
<ds:datastoreItem xmlns:ds="http://schemas.openxmlformats.org/officeDocument/2006/customXml" ds:itemID="{7E91699C-A9ED-4FCB-AEF1-91D742B1B9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1586</TotalTime>
  <Pages>7</Pages>
  <Words>3921</Words>
  <Characters>22356</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DII</Company>
  <LinksUpToDate>false</LinksUpToDate>
  <CharactersWithSpaces>26225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cp:lastModifiedBy>Massimiliano Caramia</cp:lastModifiedBy>
  <cp:revision>559</cp:revision>
  <cp:lastPrinted>2024-09-15T13:42:00Z</cp:lastPrinted>
  <dcterms:created xsi:type="dcterms:W3CDTF">2022-08-08T12:10:00Z</dcterms:created>
  <dcterms:modified xsi:type="dcterms:W3CDTF">2026-09-28T14:13:00Z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796cc322da911e2a941d39ee6784b75d950b4dfca5135d9350a8b74c896d417a</vt:lpwstr>
  </property>
</Properties>
</file>